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方正小标宋简体" w:hAnsi="方正小标宋简体" w:eastAsia="方正小标宋简体" w:cs="方正小标宋简体"/>
          <w:b/>
          <w:color w:val="FF0000"/>
          <w:spacing w:val="20"/>
          <w:sz w:val="96"/>
          <w:szCs w:val="96"/>
        </w:rPr>
      </w:pPr>
      <w:r>
        <w:rPr>
          <w:rFonts w:hint="eastAsia" w:ascii="方正小标宋简体" w:hAnsi="方正小标宋简体" w:eastAsia="方正小标宋简体" w:cs="方正小标宋简体"/>
          <w:b/>
          <w:color w:val="FF0000"/>
          <w:spacing w:val="20"/>
          <w:sz w:val="96"/>
          <w:szCs w:val="96"/>
          <w:lang w:eastAsia="zh-CN"/>
        </w:rPr>
        <w:t>教职工政治</w:t>
      </w:r>
      <w:r>
        <w:rPr>
          <w:rFonts w:hint="eastAsia" w:ascii="方正小标宋简体" w:hAnsi="方正小标宋简体" w:eastAsia="方正小标宋简体" w:cs="方正小标宋简体"/>
          <w:b/>
          <w:color w:val="FF0000"/>
          <w:spacing w:val="20"/>
          <w:sz w:val="96"/>
          <w:szCs w:val="96"/>
        </w:rPr>
        <w:t>学习</w:t>
      </w:r>
    </w:p>
    <w:p>
      <w:pPr>
        <w:spacing w:before="156" w:beforeLines="50"/>
        <w:jc w:val="center"/>
        <w:rPr>
          <w:rFonts w:ascii="方正小标宋简体" w:hAnsi="方正小标宋简体" w:eastAsia="方正小标宋简体" w:cs="方正小标宋简体"/>
          <w:b/>
          <w:color w:val="FF0000"/>
          <w:sz w:val="96"/>
          <w:szCs w:val="96"/>
        </w:rPr>
      </w:pPr>
      <w:r>
        <w:rPr>
          <w:rFonts w:hint="eastAsia" w:ascii="方正小标宋简体" w:hAnsi="方正小标宋简体" w:eastAsia="方正小标宋简体" w:cs="方正小标宋简体"/>
          <w:b/>
          <w:color w:val="FF0000"/>
          <w:sz w:val="96"/>
          <w:szCs w:val="96"/>
        </w:rPr>
        <w:t>参</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考</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资</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料</w:t>
      </w:r>
    </w:p>
    <w:p>
      <w:pPr>
        <w:spacing w:before="156" w:beforeLines="50"/>
        <w:jc w:val="center"/>
        <w:rPr>
          <w:rFonts w:hint="default" w:ascii="仿宋_GB2312" w:hAnsi="宋体" w:eastAsia="仿宋_GB2312" w:cs="Times New Roman"/>
          <w:b/>
          <w:sz w:val="32"/>
          <w:szCs w:val="32"/>
          <w:lang w:val="en-US" w:eastAsia="zh-CN"/>
        </w:rPr>
      </w:pPr>
      <w:r>
        <w:rPr>
          <w:rFonts w:hint="eastAsia" w:ascii="仿宋_GB2312" w:hAnsi="宋体" w:eastAsia="仿宋_GB2312" w:cs="Times New Roman"/>
          <w:b/>
          <w:sz w:val="32"/>
          <w:szCs w:val="32"/>
          <w:lang w:val="en-US" w:eastAsia="zh-CN"/>
        </w:rPr>
        <w:t>第4期</w:t>
      </w:r>
    </w:p>
    <w:p>
      <w:pPr>
        <w:spacing w:line="240" w:lineRule="atLeast"/>
        <w:rPr>
          <w:rFonts w:ascii="华文仿宋" w:hAnsi="华文仿宋" w:eastAsia="华文仿宋" w:cs="Times New Roman"/>
          <w:b/>
          <w:sz w:val="28"/>
          <w:szCs w:val="28"/>
        </w:rPr>
      </w:pPr>
      <w:r>
        <w:rPr>
          <w:rFonts w:hint="eastAsia" w:ascii="华文仿宋" w:hAnsi="华文仿宋" w:eastAsia="华文仿宋" w:cs="Times New Roman"/>
          <w:b/>
          <w:sz w:val="28"/>
          <w:szCs w:val="28"/>
        </w:rPr>
        <mc:AlternateContent>
          <mc:Choice Requires="wps">
            <w:drawing>
              <wp:anchor distT="0" distB="0" distL="0" distR="0" simplePos="0" relativeHeight="251659264" behindDoc="1" locked="0" layoutInCell="1" allowOverlap="1">
                <wp:simplePos x="0" y="0"/>
                <wp:positionH relativeFrom="column">
                  <wp:posOffset>-228600</wp:posOffset>
                </wp:positionH>
                <wp:positionV relativeFrom="paragraph">
                  <wp:posOffset>0</wp:posOffset>
                </wp:positionV>
                <wp:extent cx="6057900" cy="544830"/>
                <wp:effectExtent l="5080" t="4445" r="13970" b="22225"/>
                <wp:wrapNone/>
                <wp:docPr id="1026" name="文本框 3"/>
                <wp:cNvGraphicFramePr/>
                <a:graphic xmlns:a="http://schemas.openxmlformats.org/drawingml/2006/main">
                  <a:graphicData uri="http://schemas.microsoft.com/office/word/2010/wordprocessingShape">
                    <wps:wsp>
                      <wps:cNvSpPr/>
                      <wps:spPr>
                        <a:xfrm>
                          <a:off x="0" y="0"/>
                          <a:ext cx="6057900" cy="54483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spacing w:before="156" w:beforeLines="50" w:line="240" w:lineRule="atLeast"/>
                              <w:ind w:firstLine="157" w:firstLineChars="49"/>
                              <w:rPr>
                                <w:rFonts w:ascii="Calibri" w:hAnsi="Calibri" w:eastAsia="宋体" w:cs="Times New Roman"/>
                              </w:rPr>
                            </w:pPr>
                            <w:r>
                              <w:rPr>
                                <w:rFonts w:hint="eastAsia" w:ascii="仿宋_GB2312" w:hAnsi="宋体" w:eastAsia="仿宋_GB2312" w:cs="Times New Roman"/>
                                <w:b/>
                                <w:color w:val="000000"/>
                                <w:sz w:val="32"/>
                                <w:szCs w:val="32"/>
                                <w:lang w:eastAsia="zh-CN"/>
                              </w:rPr>
                              <w:t>内江师范学院</w:t>
                            </w:r>
                            <w:r>
                              <w:rPr>
                                <w:rFonts w:hint="eastAsia" w:ascii="仿宋_GB2312" w:hAnsi="宋体" w:eastAsia="仿宋_GB2312" w:cs="Times New Roman"/>
                                <w:b/>
                                <w:color w:val="000000"/>
                                <w:sz w:val="32"/>
                                <w:szCs w:val="32"/>
                              </w:rPr>
                              <w:t>党委宣传部编</w:t>
                            </w:r>
                            <w:r>
                              <w:rPr>
                                <w:rFonts w:hint="eastAsia" w:ascii="宋体" w:hAnsi="宋体" w:eastAsia="宋体" w:cs="Times New Roman"/>
                                <w:b/>
                                <w:color w:val="000000"/>
                                <w:sz w:val="28"/>
                                <w:szCs w:val="28"/>
                              </w:rPr>
                              <w:t xml:space="preserve">                 </w:t>
                            </w:r>
                            <w:r>
                              <w:rPr>
                                <w:rFonts w:ascii="仿宋_GB2312" w:hAnsi="宋体" w:eastAsia="仿宋_GB2312" w:cs="Times New Roman"/>
                                <w:b/>
                                <w:color w:val="000000"/>
                                <w:sz w:val="32"/>
                                <w:szCs w:val="32"/>
                              </w:rPr>
                              <w:t>20</w:t>
                            </w:r>
                            <w:r>
                              <w:rPr>
                                <w:rFonts w:hint="eastAsia" w:ascii="仿宋_GB2312" w:hAnsi="宋体" w:eastAsia="仿宋_GB2312" w:cs="Times New Roman"/>
                                <w:b/>
                                <w:color w:val="000000"/>
                                <w:sz w:val="32"/>
                                <w:szCs w:val="32"/>
                              </w:rPr>
                              <w:t>2</w:t>
                            </w:r>
                            <w:r>
                              <w:rPr>
                                <w:rFonts w:hint="eastAsia" w:ascii="仿宋_GB2312" w:hAnsi="宋体" w:eastAsia="仿宋_GB2312" w:cs="Times New Roman"/>
                                <w:b/>
                                <w:color w:val="000000"/>
                                <w:sz w:val="32"/>
                                <w:szCs w:val="32"/>
                                <w:lang w:val="en-US" w:eastAsia="zh-CN"/>
                              </w:rPr>
                              <w:t>3</w:t>
                            </w:r>
                            <w:r>
                              <w:rPr>
                                <w:rFonts w:ascii="仿宋_GB2312" w:hAnsi="宋体" w:eastAsia="仿宋_GB2312" w:cs="Times New Roman"/>
                                <w:b/>
                                <w:color w:val="000000"/>
                                <w:sz w:val="32"/>
                                <w:szCs w:val="32"/>
                              </w:rPr>
                              <w:t>年</w:t>
                            </w:r>
                            <w:r>
                              <w:rPr>
                                <w:rFonts w:hint="eastAsia" w:ascii="仿宋_GB2312" w:hAnsi="宋体" w:eastAsia="仿宋_GB2312" w:cs="Times New Roman"/>
                                <w:b/>
                                <w:color w:val="000000"/>
                                <w:sz w:val="32"/>
                                <w:szCs w:val="32"/>
                                <w:lang w:val="en-US" w:eastAsia="zh-CN"/>
                              </w:rPr>
                              <w:t>4</w:t>
                            </w:r>
                            <w:r>
                              <w:rPr>
                                <w:rFonts w:hint="eastAsia" w:ascii="仿宋_GB2312" w:hAnsi="宋体" w:eastAsia="仿宋_GB2312" w:cs="Times New Roman"/>
                                <w:b/>
                                <w:color w:val="000000"/>
                                <w:sz w:val="32"/>
                                <w:szCs w:val="32"/>
                              </w:rPr>
                              <w:t>月</w:t>
                            </w:r>
                            <w:r>
                              <w:rPr>
                                <w:rFonts w:hint="eastAsia" w:ascii="仿宋_GB2312" w:hAnsi="宋体" w:eastAsia="仿宋_GB2312" w:cs="Times New Roman"/>
                                <w:b/>
                                <w:color w:val="000000"/>
                                <w:sz w:val="32"/>
                                <w:szCs w:val="32"/>
                                <w:lang w:val="en-US" w:eastAsia="zh-CN"/>
                              </w:rPr>
                              <w:t>10</w:t>
                            </w:r>
                            <w:r>
                              <w:rPr>
                                <w:rFonts w:hint="eastAsia" w:ascii="仿宋_GB2312" w:hAnsi="宋体" w:eastAsia="仿宋_GB2312" w:cs="Times New Roman"/>
                                <w:b/>
                                <w:color w:val="000000"/>
                                <w:sz w:val="32"/>
                                <w:szCs w:val="32"/>
                              </w:rPr>
                              <w:t>日</w:t>
                            </w:r>
                          </w:p>
                        </w:txbxContent>
                      </wps:txbx>
                      <wps:bodyPr upright="1"/>
                    </wps:wsp>
                  </a:graphicData>
                </a:graphic>
              </wp:anchor>
            </w:drawing>
          </mc:Choice>
          <mc:Fallback>
            <w:pict>
              <v:rect id="文本框 3" o:spid="_x0000_s1026" o:spt="1" style="position:absolute;left:0pt;margin-left:-18pt;margin-top:0pt;height:42.9pt;width:477pt;z-index:-251657216;mso-width-relative:page;mso-height-relative:page;" fillcolor="#FFFFFF" filled="t" stroked="t" coordsize="21600,21600" o:gfxdata="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VlaUF0wAAAAcBAAAPAAAAAAAAAAEA&#10;IAAAACIAAABkcnMvZG93bnJldi54bWxQSwECFAAUAAAACACHTuJAXmoSMRQCAABMBAAADgAAAAAA&#10;AAABACAAAAAiAQAAZHJzL2Uyb0RvYy54bWxQSwUGAAAAAAYABgBZAQAAqAUAAAAA&#10;">
                <v:fill on="t" opacity="0f" focussize="0,0"/>
                <v:stroke color="#FFFFFF" joinstyle="miter"/>
                <v:imagedata o:title=""/>
                <o:lock v:ext="edit" aspectratio="f"/>
                <v:textbox>
                  <w:txbxContent>
                    <w:p>
                      <w:pPr>
                        <w:spacing w:before="156" w:beforeLines="50" w:line="240" w:lineRule="atLeast"/>
                        <w:ind w:firstLine="157" w:firstLineChars="49"/>
                        <w:rPr>
                          <w:rFonts w:ascii="Calibri" w:hAnsi="Calibri" w:eastAsia="宋体" w:cs="Times New Roman"/>
                        </w:rPr>
                      </w:pPr>
                      <w:r>
                        <w:rPr>
                          <w:rFonts w:hint="eastAsia" w:ascii="仿宋_GB2312" w:hAnsi="宋体" w:eastAsia="仿宋_GB2312" w:cs="Times New Roman"/>
                          <w:b/>
                          <w:color w:val="000000"/>
                          <w:sz w:val="32"/>
                          <w:szCs w:val="32"/>
                          <w:lang w:eastAsia="zh-CN"/>
                        </w:rPr>
                        <w:t>内江师范学院</w:t>
                      </w:r>
                      <w:r>
                        <w:rPr>
                          <w:rFonts w:hint="eastAsia" w:ascii="仿宋_GB2312" w:hAnsi="宋体" w:eastAsia="仿宋_GB2312" w:cs="Times New Roman"/>
                          <w:b/>
                          <w:color w:val="000000"/>
                          <w:sz w:val="32"/>
                          <w:szCs w:val="32"/>
                        </w:rPr>
                        <w:t>党委宣传部编</w:t>
                      </w:r>
                      <w:r>
                        <w:rPr>
                          <w:rFonts w:hint="eastAsia" w:ascii="宋体" w:hAnsi="宋体" w:eastAsia="宋体" w:cs="Times New Roman"/>
                          <w:b/>
                          <w:color w:val="000000"/>
                          <w:sz w:val="28"/>
                          <w:szCs w:val="28"/>
                        </w:rPr>
                        <w:t xml:space="preserve">                 </w:t>
                      </w:r>
                      <w:r>
                        <w:rPr>
                          <w:rFonts w:ascii="仿宋_GB2312" w:hAnsi="宋体" w:eastAsia="仿宋_GB2312" w:cs="Times New Roman"/>
                          <w:b/>
                          <w:color w:val="000000"/>
                          <w:sz w:val="32"/>
                          <w:szCs w:val="32"/>
                        </w:rPr>
                        <w:t>20</w:t>
                      </w:r>
                      <w:r>
                        <w:rPr>
                          <w:rFonts w:hint="eastAsia" w:ascii="仿宋_GB2312" w:hAnsi="宋体" w:eastAsia="仿宋_GB2312" w:cs="Times New Roman"/>
                          <w:b/>
                          <w:color w:val="000000"/>
                          <w:sz w:val="32"/>
                          <w:szCs w:val="32"/>
                        </w:rPr>
                        <w:t>2</w:t>
                      </w:r>
                      <w:r>
                        <w:rPr>
                          <w:rFonts w:hint="eastAsia" w:ascii="仿宋_GB2312" w:hAnsi="宋体" w:eastAsia="仿宋_GB2312" w:cs="Times New Roman"/>
                          <w:b/>
                          <w:color w:val="000000"/>
                          <w:sz w:val="32"/>
                          <w:szCs w:val="32"/>
                          <w:lang w:val="en-US" w:eastAsia="zh-CN"/>
                        </w:rPr>
                        <w:t>3</w:t>
                      </w:r>
                      <w:r>
                        <w:rPr>
                          <w:rFonts w:ascii="仿宋_GB2312" w:hAnsi="宋体" w:eastAsia="仿宋_GB2312" w:cs="Times New Roman"/>
                          <w:b/>
                          <w:color w:val="000000"/>
                          <w:sz w:val="32"/>
                          <w:szCs w:val="32"/>
                        </w:rPr>
                        <w:t>年</w:t>
                      </w:r>
                      <w:r>
                        <w:rPr>
                          <w:rFonts w:hint="eastAsia" w:ascii="仿宋_GB2312" w:hAnsi="宋体" w:eastAsia="仿宋_GB2312" w:cs="Times New Roman"/>
                          <w:b/>
                          <w:color w:val="000000"/>
                          <w:sz w:val="32"/>
                          <w:szCs w:val="32"/>
                          <w:lang w:val="en-US" w:eastAsia="zh-CN"/>
                        </w:rPr>
                        <w:t>4</w:t>
                      </w:r>
                      <w:r>
                        <w:rPr>
                          <w:rFonts w:hint="eastAsia" w:ascii="仿宋_GB2312" w:hAnsi="宋体" w:eastAsia="仿宋_GB2312" w:cs="Times New Roman"/>
                          <w:b/>
                          <w:color w:val="000000"/>
                          <w:sz w:val="32"/>
                          <w:szCs w:val="32"/>
                        </w:rPr>
                        <w:t>月</w:t>
                      </w:r>
                      <w:r>
                        <w:rPr>
                          <w:rFonts w:hint="eastAsia" w:ascii="仿宋_GB2312" w:hAnsi="宋体" w:eastAsia="仿宋_GB2312" w:cs="Times New Roman"/>
                          <w:b/>
                          <w:color w:val="000000"/>
                          <w:sz w:val="32"/>
                          <w:szCs w:val="32"/>
                          <w:lang w:val="en-US" w:eastAsia="zh-CN"/>
                        </w:rPr>
                        <w:t>10</w:t>
                      </w:r>
                      <w:r>
                        <w:rPr>
                          <w:rFonts w:hint="eastAsia" w:ascii="仿宋_GB2312" w:hAnsi="宋体" w:eastAsia="仿宋_GB2312" w:cs="Times New Roman"/>
                          <w:b/>
                          <w:color w:val="000000"/>
                          <w:sz w:val="32"/>
                          <w:szCs w:val="32"/>
                        </w:rPr>
                        <w:t>日</w:t>
                      </w:r>
                    </w:p>
                  </w:txbxContent>
                </v:textbox>
              </v:rect>
            </w:pict>
          </mc:Fallback>
        </mc:AlternateContent>
      </w:r>
      <w:r>
        <w:rPr>
          <w:rFonts w:hint="eastAsia" w:ascii="宋体" w:hAnsi="宋体" w:eastAsia="宋体" w:cs="Times New Roman"/>
          <w:b/>
          <w:sz w:val="28"/>
          <w:szCs w:val="28"/>
        </w:rPr>
        <mc:AlternateContent>
          <mc:Choice Requires="wps">
            <w:drawing>
              <wp:anchor distT="0" distB="0" distL="0" distR="0" simplePos="0" relativeHeight="251659264" behindDoc="0" locked="0" layoutInCell="1" allowOverlap="1">
                <wp:simplePos x="0" y="0"/>
                <wp:positionH relativeFrom="column">
                  <wp:posOffset>-92710</wp:posOffset>
                </wp:positionH>
                <wp:positionV relativeFrom="paragraph">
                  <wp:posOffset>99060</wp:posOffset>
                </wp:positionV>
                <wp:extent cx="5805170" cy="0"/>
                <wp:effectExtent l="0" t="9525" r="5080" b="9525"/>
                <wp:wrapNone/>
                <wp:docPr id="1027" name="直接连接符 4"/>
                <wp:cNvGraphicFramePr/>
                <a:graphic xmlns:a="http://schemas.openxmlformats.org/drawingml/2006/main">
                  <a:graphicData uri="http://schemas.microsoft.com/office/word/2010/wordprocessingShape">
                    <wps:wsp>
                      <wps:cNvCnPr/>
                      <wps:spPr>
                        <a:xfrm>
                          <a:off x="0" y="0"/>
                          <a:ext cx="5805170" cy="0"/>
                        </a:xfrm>
                        <a:prstGeom prst="line">
                          <a:avLst/>
                        </a:prstGeom>
                        <a:ln w="19050" cap="flat" cmpd="sng">
                          <a:solidFill>
                            <a:srgbClr val="FFFFFF"/>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7.3pt;margin-top:7.8pt;height:0pt;width:457.1pt;z-index:251659264;mso-width-relative:page;mso-height-relative:page;" filled="f" stroked="t" coordsize="21600,21600" o:gfxdata="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5LZRLXAAAACQEAAA8AAAAAAAAAAQAgAAAAIgAAAGRycy9kb3ducmV2LnhtbFBLAQIU&#10;ABQAAAAIAIdO4kDDgsAv9AEAAOYDAAAOAAAAAAAAAAEAIAAAACYBAABkcnMvZTJvRG9jLnhtbFBL&#10;BQYAAAAABgAGAFkBAACMBQAAAAA=&#10;">
                <v:fill on="f" focussize="0,0"/>
                <v:stroke weight="1.5pt" color="#FFFFFF" joinstyle="round"/>
                <v:imagedata o:title=""/>
                <o:lock v:ext="edit" aspectratio="f"/>
              </v:line>
            </w:pict>
          </mc:Fallback>
        </mc:AlternateContent>
      </w:r>
      <w:bookmarkStart w:id="0" w:name="_Toc27463"/>
      <w:bookmarkStart w:id="1" w:name="_Toc28141"/>
      <w:bookmarkStart w:id="2" w:name="_Toc31568"/>
      <w:bookmarkStart w:id="3" w:name="_Toc14317"/>
    </w:p>
    <w:p>
      <w:pPr>
        <w:spacing w:line="240" w:lineRule="atLeast"/>
        <w:rPr>
          <w:rFonts w:ascii="仿宋_GB2312" w:hAnsi="Cambria" w:eastAsia="仿宋_GB2312" w:cs="Times New Roman"/>
          <w:b/>
          <w:kern w:val="0"/>
          <w:sz w:val="36"/>
          <w:szCs w:val="36"/>
          <w:lang w:val="zh-CN"/>
        </w:rPr>
      </w:pPr>
      <w:r>
        <w:rPr>
          <w:rFonts w:ascii="Calibri" w:hAnsi="Calibri" w:eastAsia="宋体" w:cs="Times New Roman"/>
          <w:sz w:val="36"/>
        </w:rPr>
        <mc:AlternateContent>
          <mc:Choice Requires="wps">
            <w:drawing>
              <wp:anchor distT="0" distB="0" distL="0" distR="0" simplePos="0" relativeHeight="251659264" behindDoc="0" locked="0" layoutInCell="1" allowOverlap="1">
                <wp:simplePos x="0" y="0"/>
                <wp:positionH relativeFrom="column">
                  <wp:posOffset>-93345</wp:posOffset>
                </wp:positionH>
                <wp:positionV relativeFrom="paragraph">
                  <wp:posOffset>57785</wp:posOffset>
                </wp:positionV>
                <wp:extent cx="5819775" cy="9525"/>
                <wp:effectExtent l="0" t="0" r="0" b="0"/>
                <wp:wrapNone/>
                <wp:docPr id="1028" name="直接连接符 2"/>
                <wp:cNvGraphicFramePr/>
                <a:graphic xmlns:a="http://schemas.openxmlformats.org/drawingml/2006/main">
                  <a:graphicData uri="http://schemas.microsoft.com/office/word/2010/wordprocessingShape">
                    <wps:wsp>
                      <wps:cNvCnPr/>
                      <wps:spPr>
                        <a:xfrm flipV="1">
                          <a:off x="0" y="0"/>
                          <a:ext cx="5819775" cy="9525"/>
                        </a:xfrm>
                        <a:prstGeom prst="line">
                          <a:avLst/>
                        </a:prstGeom>
                        <a:ln w="9525" cap="flat" cmpd="sng">
                          <a:solidFill>
                            <a:srgbClr val="FF0000"/>
                          </a:solidFill>
                          <a:prstDash val="solid"/>
                          <a:round/>
                          <a:headEnd type="none" w="med" len="med"/>
                          <a:tailEnd type="none" w="med" len="med"/>
                        </a:ln>
                      </wps:spPr>
                      <wps:bodyPr/>
                    </wps:wsp>
                  </a:graphicData>
                </a:graphic>
              </wp:anchor>
            </w:drawing>
          </mc:Choice>
          <mc:Fallback>
            <w:pict>
              <v:line id="直接连接符 2" o:spid="_x0000_s1026" o:spt="20" style="position:absolute;left:0pt;flip:y;margin-left:-7.35pt;margin-top:4.55pt;height:0.75pt;width:458.25pt;z-index:251659264;mso-width-relative:page;mso-height-relative:page;" filled="f" stroked="t" coordsize="21600,21600" o:gfxdata="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1vMvH1wAAAAgBAAAPAAAAAAAAAAEAIAAAACIAAABkcnMvZG93bnJldi54&#10;bWxQSwECFAAUAAAACACHTuJAx5CxY/sBAADyAwAADgAAAAAAAAABACAAAAAmAQAAZHJzL2Uyb0Rv&#10;Yy54bWxQSwUGAAAAAAYABgBZAQAAkwUAAAAA&#10;">
                <v:fill on="f" focussize="0,0"/>
                <v:stroke color="#FF0000" joinstyle="round"/>
                <v:imagedata o:title=""/>
                <o:lock v:ext="edit" aspectratio="f"/>
              </v:line>
            </w:pict>
          </mc:Fallback>
        </mc:AlternateContent>
      </w:r>
    </w:p>
    <w:p>
      <w:pPr>
        <w:spacing w:line="240" w:lineRule="atLeast"/>
        <w:rPr>
          <w:rFonts w:ascii="仿宋_GB2312" w:hAnsi="Cambria" w:eastAsia="仿宋_GB2312" w:cs="Times New Roman"/>
          <w:b/>
          <w:kern w:val="0"/>
          <w:sz w:val="36"/>
          <w:szCs w:val="36"/>
          <w:lang w:val="zh-CN"/>
        </w:rPr>
      </w:pPr>
    </w:p>
    <w:p>
      <w:pPr>
        <w:spacing w:line="240" w:lineRule="atLeast"/>
        <w:rPr>
          <w:rFonts w:ascii="仿宋_GB2312" w:hAnsi="Cambria" w:eastAsia="仿宋_GB2312" w:cs="Times New Roman"/>
          <w:b/>
          <w:kern w:val="0"/>
          <w:sz w:val="36"/>
          <w:szCs w:val="36"/>
          <w:lang w:val="zh-CN"/>
        </w:rPr>
      </w:pPr>
      <w:bookmarkStart w:id="4" w:name="_GoBack"/>
      <w:bookmarkEnd w:id="4"/>
    </w:p>
    <w:p>
      <w:pPr>
        <w:spacing w:line="240" w:lineRule="atLeast"/>
        <w:rPr>
          <w:rFonts w:ascii="华文仿宋" w:hAnsi="华文仿宋" w:eastAsia="华文仿宋" w:cs="Times New Roman"/>
          <w:b/>
          <w:sz w:val="36"/>
          <w:szCs w:val="36"/>
        </w:rPr>
      </w:pPr>
      <w:r>
        <w:rPr>
          <w:rFonts w:hint="eastAsia" w:ascii="仿宋_GB2312" w:hAnsi="Cambria" w:eastAsia="仿宋_GB2312" w:cs="Times New Roman"/>
          <w:b/>
          <w:kern w:val="0"/>
          <w:sz w:val="36"/>
          <w:szCs w:val="36"/>
          <w:lang w:val="zh-CN"/>
        </w:rPr>
        <w:t>本期要目</w:t>
      </w:r>
      <w:bookmarkEnd w:id="0"/>
      <w:bookmarkEnd w:id="1"/>
      <w:bookmarkEnd w:id="2"/>
      <w:bookmarkEnd w:id="3"/>
    </w:p>
    <w:p>
      <w:pPr>
        <w:spacing w:line="360" w:lineRule="auto"/>
        <w:rPr>
          <w:rFonts w:ascii="仿宋_GB2312" w:hAnsi="Calibri" w:eastAsia="仿宋_GB2312" w:cs="Times New Roman"/>
          <w:b/>
          <w:bCs/>
          <w:sz w:val="36"/>
          <w:szCs w:val="3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780" w:lineRule="atLeast"/>
        <w:ind w:left="0" w:right="0" w:firstLine="0"/>
        <w:jc w:val="left"/>
        <w:rPr>
          <w:rFonts w:hint="eastAsia" w:ascii="仿宋" w:hAnsi="仿宋" w:eastAsia="仿宋" w:cs="仿宋"/>
          <w:b w:val="0"/>
          <w:bCs/>
          <w:snapToGrid w:val="0"/>
          <w:spacing w:val="-8"/>
          <w:kern w:val="2"/>
          <w:sz w:val="32"/>
          <w:szCs w:val="32"/>
          <w:lang w:val="en-US" w:eastAsia="zh-CN" w:bidi="ar-SA"/>
        </w:rPr>
      </w:pPr>
      <w:r>
        <w:rPr>
          <w:rFonts w:hint="eastAsia" w:ascii="仿宋" w:hAnsi="仿宋" w:eastAsia="仿宋" w:cs="仿宋"/>
          <w:b w:val="0"/>
          <w:bCs/>
          <w:snapToGrid w:val="0"/>
          <w:spacing w:val="-8"/>
          <w:kern w:val="2"/>
          <w:sz w:val="36"/>
          <w:szCs w:val="36"/>
          <w:lang w:val="en-US" w:eastAsia="zh-CN" w:bidi="ar-SA"/>
        </w:rPr>
        <w:t>◆人民日报评论员：</w:t>
      </w:r>
      <w:r>
        <w:rPr>
          <w:rFonts w:hint="eastAsia" w:ascii="仿宋" w:hAnsi="仿宋" w:eastAsia="仿宋" w:cs="仿宋"/>
          <w:b w:val="0"/>
          <w:bCs/>
          <w:snapToGrid w:val="0"/>
          <w:spacing w:val="-8"/>
          <w:kern w:val="2"/>
          <w:sz w:val="32"/>
          <w:szCs w:val="32"/>
          <w:lang w:val="en-US" w:eastAsia="zh-CN" w:bidi="ar-SA"/>
        </w:rPr>
        <w:t>坚定不移推动高质量发展——论学习贯彻习近平主席十四届全国人大一次会议重要讲话</w:t>
      </w:r>
    </w:p>
    <w:p>
      <w:pPr>
        <w:tabs>
          <w:tab w:val="right" w:leader="dot" w:pos="8296"/>
        </w:tabs>
        <w:spacing w:line="560" w:lineRule="exact"/>
        <w:rPr>
          <w:rFonts w:hint="default" w:ascii="仿宋" w:hAnsi="仿宋" w:eastAsia="仿宋" w:cs="仿宋"/>
          <w:bCs/>
          <w:snapToGrid w:val="0"/>
          <w:spacing w:val="-8"/>
          <w:sz w:val="36"/>
          <w:szCs w:val="36"/>
          <w:lang w:val="en-US" w:eastAsia="zh-CN"/>
        </w:rPr>
      </w:pPr>
      <w:r>
        <w:rPr>
          <w:rFonts w:hint="eastAsia" w:ascii="仿宋" w:hAnsi="仿宋" w:eastAsia="仿宋" w:cs="仿宋"/>
          <w:b w:val="0"/>
          <w:bCs/>
          <w:snapToGrid w:val="0"/>
          <w:spacing w:val="-8"/>
          <w:kern w:val="2"/>
          <w:sz w:val="36"/>
          <w:szCs w:val="36"/>
          <w:lang w:val="en-US" w:eastAsia="zh-CN" w:bidi="ar-SA"/>
        </w:rPr>
        <w:tab/>
      </w:r>
      <w:r>
        <w:rPr>
          <w:rFonts w:hint="eastAsia" w:ascii="仿宋" w:hAnsi="仿宋" w:eastAsia="仿宋" w:cs="仿宋"/>
          <w:b w:val="0"/>
          <w:bCs/>
          <w:snapToGrid w:val="0"/>
          <w:spacing w:val="-8"/>
          <w:kern w:val="2"/>
          <w:sz w:val="36"/>
          <w:szCs w:val="36"/>
          <w:lang w:val="en-US" w:eastAsia="zh-CN" w:bidi="ar-SA"/>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780" w:lineRule="atLeast"/>
        <w:ind w:left="0" w:right="0" w:firstLine="0"/>
        <w:jc w:val="left"/>
        <w:rPr>
          <w:rFonts w:hint="eastAsia" w:ascii="仿宋" w:hAnsi="仿宋" w:eastAsia="仿宋" w:cs="仿宋"/>
          <w:b w:val="0"/>
          <w:bCs/>
          <w:snapToGrid w:val="0"/>
          <w:spacing w:val="-8"/>
          <w:kern w:val="2"/>
          <w:sz w:val="32"/>
          <w:szCs w:val="32"/>
          <w:lang w:val="en-US" w:eastAsia="zh-CN" w:bidi="ar-SA"/>
        </w:rPr>
      </w:pPr>
      <w:r>
        <w:rPr>
          <w:rFonts w:hint="eastAsia" w:ascii="仿宋" w:hAnsi="仿宋" w:eastAsia="仿宋" w:cs="仿宋"/>
          <w:b w:val="0"/>
          <w:bCs/>
          <w:snapToGrid w:val="0"/>
          <w:spacing w:val="-8"/>
          <w:kern w:val="2"/>
          <w:sz w:val="36"/>
          <w:szCs w:val="36"/>
          <w:lang w:val="en-US" w:eastAsia="zh-CN" w:bidi="ar-SA"/>
        </w:rPr>
        <w:t>◆</w:t>
      </w:r>
      <w:r>
        <w:rPr>
          <w:rFonts w:hint="eastAsia" w:ascii="仿宋" w:hAnsi="仿宋" w:eastAsia="仿宋" w:cs="仿宋"/>
          <w:b w:val="0"/>
          <w:bCs/>
          <w:snapToGrid w:val="0"/>
          <w:spacing w:val="-8"/>
          <w:kern w:val="2"/>
          <w:sz w:val="32"/>
          <w:szCs w:val="32"/>
          <w:lang w:val="en-US" w:eastAsia="zh-CN" w:bidi="ar-SA"/>
        </w:rPr>
        <w:t>王晓晖在省级领导干部和市厅级主要负责同志学习贯彻党的二十大精神读书班上强调：推动党的二十大决策部署在四川具体化，奋力写好中国式现代化的四川篇章</w:t>
      </w:r>
    </w:p>
    <w:p>
      <w:pPr>
        <w:tabs>
          <w:tab w:val="right" w:leader="dot" w:pos="8296"/>
        </w:tabs>
        <w:spacing w:line="560" w:lineRule="exact"/>
        <w:rPr>
          <w:rFonts w:hint="default" w:ascii="仿宋" w:hAnsi="仿宋" w:eastAsia="仿宋" w:cs="仿宋"/>
          <w:bCs/>
          <w:snapToGrid w:val="0"/>
          <w:spacing w:val="-8"/>
          <w:sz w:val="36"/>
          <w:szCs w:val="36"/>
          <w:lang w:val="en-US" w:eastAsia="zh-CN"/>
        </w:rPr>
      </w:pPr>
      <w:r>
        <w:rPr>
          <w:rFonts w:hint="eastAsia" w:ascii="仿宋" w:hAnsi="仿宋" w:eastAsia="仿宋" w:cs="仿宋"/>
          <w:bCs/>
          <w:snapToGrid w:val="0"/>
          <w:spacing w:val="-8"/>
          <w:sz w:val="36"/>
          <w:szCs w:val="36"/>
        </w:rPr>
        <w:tab/>
      </w:r>
      <w:r>
        <w:rPr>
          <w:rFonts w:hint="default" w:ascii="仿宋" w:hAnsi="仿宋" w:eastAsia="仿宋" w:cs="仿宋"/>
          <w:bCs/>
          <w:snapToGrid w:val="0"/>
          <w:spacing w:val="-8"/>
          <w:sz w:val="36"/>
          <w:szCs w:val="36"/>
          <w:lang w:val="en-US"/>
        </w:rPr>
        <w:t>4</w:t>
      </w:r>
    </w:p>
    <w:p>
      <w:pPr>
        <w:tabs>
          <w:tab w:val="right" w:leader="dot" w:pos="8296"/>
        </w:tabs>
        <w:spacing w:line="560" w:lineRule="exact"/>
        <w:rPr>
          <w:rFonts w:hint="default" w:ascii="仿宋" w:hAnsi="仿宋" w:eastAsia="仿宋" w:cs="仿宋"/>
          <w:bCs/>
          <w:snapToGrid w:val="0"/>
          <w:spacing w:val="-8"/>
          <w:sz w:val="36"/>
          <w:szCs w:val="36"/>
          <w:lang w:val="en-US" w:eastAsia="zh-CN"/>
        </w:rPr>
      </w:pPr>
    </w:p>
    <w:p>
      <w:pPr>
        <w:jc w:val="center"/>
        <w:rPr>
          <w:rFonts w:hint="eastAsia" w:ascii="微软雅黑" w:hAnsi="微软雅黑" w:eastAsia="微软雅黑" w:cs="微软雅黑"/>
          <w:b/>
          <w:bCs/>
          <w:i w:val="0"/>
          <w:iCs w:val="0"/>
          <w:caps w:val="0"/>
          <w:color w:val="000000"/>
          <w:spacing w:val="0"/>
          <w:sz w:val="28"/>
          <w:szCs w:val="28"/>
          <w:shd w:val="clear" w:fill="FFFFFF"/>
        </w:rPr>
        <w:sectPr>
          <w:pgSz w:w="11906" w:h="16838"/>
          <w:pgMar w:top="1440" w:right="1800" w:bottom="1440" w:left="1800" w:header="851" w:footer="992" w:gutter="0"/>
          <w:pgNumType w:fmt="decimal" w:start="1"/>
          <w:cols w:space="425" w:num="1"/>
          <w:docGrid w:type="lines" w:linePitch="312" w:charSpace="0"/>
        </w:sectPr>
      </w:pPr>
    </w:p>
    <w:p>
      <w:pPr>
        <w:jc w:val="center"/>
        <w:rPr>
          <w:rFonts w:hint="eastAsia" w:ascii="微软雅黑" w:hAnsi="微软雅黑" w:eastAsia="微软雅黑" w:cs="微软雅黑"/>
          <w:b/>
          <w:bCs/>
          <w:i w:val="0"/>
          <w:iCs w:val="0"/>
          <w:caps w:val="0"/>
          <w:color w:val="000000"/>
          <w:spacing w:val="0"/>
          <w:sz w:val="28"/>
          <w:szCs w:val="28"/>
          <w:shd w:val="clear" w:fill="FFFFFF"/>
        </w:rPr>
      </w:pPr>
      <w:r>
        <w:rPr>
          <w:rFonts w:hint="eastAsia" w:ascii="微软雅黑" w:hAnsi="微软雅黑" w:eastAsia="微软雅黑" w:cs="微软雅黑"/>
          <w:b/>
          <w:bCs/>
          <w:i w:val="0"/>
          <w:iCs w:val="0"/>
          <w:caps w:val="0"/>
          <w:color w:val="000000"/>
          <w:spacing w:val="0"/>
          <w:sz w:val="28"/>
          <w:szCs w:val="28"/>
          <w:shd w:val="clear" w:fill="FFFFFF"/>
        </w:rPr>
        <w:t>人民日报评论员：坚定不移推动高质量发展——论学习贯彻</w:t>
      </w:r>
    </w:p>
    <w:p>
      <w:pPr>
        <w:jc w:val="center"/>
        <w:rPr>
          <w:rStyle w:val="11"/>
          <w:rFonts w:hint="eastAsia" w:ascii="宋体" w:hAnsi="宋体" w:eastAsia="宋体" w:cs="宋体"/>
          <w:spacing w:val="8"/>
          <w:sz w:val="28"/>
          <w:szCs w:val="28"/>
          <w:lang w:val="en-US" w:eastAsia="zh-CN"/>
        </w:rPr>
      </w:pPr>
      <w:r>
        <w:rPr>
          <w:rFonts w:hint="eastAsia" w:ascii="微软雅黑" w:hAnsi="微软雅黑" w:eastAsia="微软雅黑" w:cs="微软雅黑"/>
          <w:b/>
          <w:bCs/>
          <w:i w:val="0"/>
          <w:iCs w:val="0"/>
          <w:caps w:val="0"/>
          <w:color w:val="000000"/>
          <w:spacing w:val="0"/>
          <w:sz w:val="28"/>
          <w:szCs w:val="28"/>
          <w:shd w:val="clear" w:fill="FFFFFF"/>
        </w:rPr>
        <w:t>习近平主席十四届全国人大一次会议重要讲话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color w:val="auto"/>
          <w:sz w:val="28"/>
          <w:szCs w:val="28"/>
        </w:rPr>
      </w:pPr>
      <w:r>
        <w:rPr>
          <w:rFonts w:ascii="Arial" w:hAnsi="Arial" w:cs="Arial"/>
          <w:i w:val="0"/>
          <w:iCs w:val="0"/>
          <w:caps w:val="0"/>
          <w:color w:val="auto"/>
          <w:spacing w:val="0"/>
          <w:sz w:val="28"/>
          <w:szCs w:val="28"/>
          <w:bdr w:val="none" w:color="auto" w:sz="0" w:space="0"/>
          <w:shd w:val="clear" w:fill="FFFFFF"/>
        </w:rPr>
        <w:t>高质量发展关系我国社会主义现代化建设全局。在十四届全国人大一次会议上，习近平主席着眼全党全国人民的中心任务，强调“在强国建设、民族复兴的新征程，我们要坚定不移推动高质量发展”。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color w:val="auto"/>
          <w:sz w:val="28"/>
          <w:szCs w:val="28"/>
        </w:rPr>
      </w:pPr>
      <w:r>
        <w:rPr>
          <w:rFonts w:hint="default" w:ascii="Arial" w:hAnsi="Arial" w:cs="Arial"/>
          <w:i w:val="0"/>
          <w:iCs w:val="0"/>
          <w:caps w:val="0"/>
          <w:color w:val="auto"/>
          <w:spacing w:val="0"/>
          <w:sz w:val="28"/>
          <w:szCs w:val="28"/>
          <w:bdr w:val="none" w:color="auto" w:sz="0" w:space="0"/>
          <w:shd w:val="clear" w:fill="FFFFFF"/>
        </w:rPr>
        <w:t>新时代十年是我国经济社会发展取得历史性成就、发生历史性变革、转向高质量发展的十年。党的十八大以来，以习近平同志为核心的党中央科学把握我国发展大势，提出并贯彻新发展理念，着力推进高质量发展，推动构建新发展格局，实施供给侧结构性改革，引领我国经济迈上更高质量、更有效率、更加公平、更可持续、更为安全的发展之路。十年来，我国经济实力实现历史性跃升，对世界经济增长的贡献在全球居于首位，战略性新兴产业发展壮大，发展的平衡性协调性包容性持续提高，生态环境呈现明显改善和趋势性好转，共建“一带一路”走深走实，创新型国家建设取得重大进展。特别是历史性地解决了绝对贫困问题，如期全面建成小康社会，实现第一个百年奋斗目标，迈上全面建设社会主义现代化国家新征程。实践充分证明，推动高质量发展是遵循经济发展规律、保持经济持续健康发展的必然要求，是适应我国社会主要矛盾变化、解决发展不平衡不充分问题的必然要求，是有效防范化解各种重大风险挑战、以中国式现代化全面推进中华民族伟大复兴的必然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color w:val="auto"/>
          <w:sz w:val="28"/>
          <w:szCs w:val="28"/>
        </w:rPr>
      </w:pPr>
      <w:r>
        <w:rPr>
          <w:rFonts w:hint="default" w:ascii="Arial" w:hAnsi="Arial" w:cs="Arial"/>
          <w:i w:val="0"/>
          <w:iCs w:val="0"/>
          <w:caps w:val="0"/>
          <w:color w:val="auto"/>
          <w:spacing w:val="0"/>
          <w:sz w:val="28"/>
          <w:szCs w:val="28"/>
          <w:bdr w:val="none" w:color="auto" w:sz="0" w:space="0"/>
          <w:shd w:val="clear" w:fill="FFFFFF"/>
        </w:rPr>
        <w:t>习近平主席强调：“从现在起到本世纪中叶，全面建成社会主义现代化强国、全面推进中华民族伟大复兴，是全党全国人民的中心任务。”党的二十大报告提出：“高质量发展是全面建设社会主义现代化国家的首要任务。”当前，我国发展面临新的战略机遇、新的战略任务、新的战略阶段、新的战略要求、新的战略环境。必须深刻认识到，发展是党执政兴国的第一要务，没有坚实的物质技术基础，就不可能全面建成社会主义现代化强国。防范化解各类风险隐患，积极应对外部环境变化带来的冲击挑战，关键在于办好自己的事，提高发展质量，提高国际竞争力，增强国家综合实力和抵御风险能力。在强国建设、民族复兴的新征程，只有牢牢把握高质量发展这个首要任务，完整、准确、全面贯彻新发展理念，加快构建以国内大循环为主体、国内国际双循环相互促进的新发展格局，推动经济实现质的有效提升和量的合理增长，才能不断壮大我国经济实力、科技实力、综合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color w:val="auto"/>
          <w:sz w:val="28"/>
          <w:szCs w:val="28"/>
        </w:rPr>
      </w:pPr>
      <w:r>
        <w:rPr>
          <w:rFonts w:hint="default" w:ascii="Arial" w:hAnsi="Arial" w:cs="Arial"/>
          <w:i w:val="0"/>
          <w:iCs w:val="0"/>
          <w:caps w:val="0"/>
          <w:color w:val="auto"/>
          <w:spacing w:val="0"/>
          <w:sz w:val="28"/>
          <w:szCs w:val="28"/>
          <w:bdr w:val="none" w:color="auto" w:sz="0" w:space="0"/>
          <w:shd w:val="clear" w:fill="FFFFFF"/>
        </w:rPr>
        <w:t>高质量发展就是体现新发展理念的发展，实现高质量发展是中国式现代化的本质要求之一。坚定不移推动高质量发展，必须完整、准确、全面贯彻新发展理念，必须更好统筹质的有效提升和量的合理增长，必须坚定不移深化改革开放、深入转变发展方式，必须以满足人民日益增长的美好生活需要为出发点和落脚点。加快实现高水平科技自立自强是推动高质量发展的必由之路，要深入实施科教兴国战略、人才强国战略、创新驱动发展战略，着力提升科技自立自强能力，不断开辟发展新领域新赛道、塑造发展新动能新优势。加快构建新发展格局是推动高质量发展的战略基点，要把实施扩大内需战略同深化供给侧结构性改革有机结合起来，坚持把发展经济的着力点放在实体经济上，夯实我国经济发展的根基、增强发展的安全性稳定性，不断增强我国的生存力、竞争力、发展力、持续力。农业强国是社会主义现代化强国的根基，推进农业现代化是实现高质量发展的必然要求，要切实保障粮食和重要农产品稳定安全供给，把产业振兴作为乡村振兴的重中之重，提高农业质量效益和竞争力，加快建设宜居宜业和美乡村，以更加积极的作为确保全面推进乡村振兴落地见效。人民幸福安康是推动高质量发展的最终目的，要始终把最广大人民根本利益放在心上，坚持增进民生福祉，把高质量发展同满足人民美好生活需要紧密结合起来，把发展成果不断转化为生活品质，不断增强人民群众的获得感、幸福感、安全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560" w:firstLineChars="200"/>
        <w:textAlignment w:val="auto"/>
        <w:rPr>
          <w:color w:val="auto"/>
          <w:sz w:val="28"/>
          <w:szCs w:val="28"/>
        </w:rPr>
      </w:pPr>
      <w:r>
        <w:rPr>
          <w:rFonts w:hint="default" w:ascii="Arial" w:hAnsi="Arial" w:cs="Arial"/>
          <w:i w:val="0"/>
          <w:iCs w:val="0"/>
          <w:caps w:val="0"/>
          <w:color w:val="auto"/>
          <w:spacing w:val="0"/>
          <w:sz w:val="28"/>
          <w:szCs w:val="28"/>
          <w:bdr w:val="none" w:color="auto" w:sz="0" w:space="0"/>
          <w:shd w:val="clear" w:fill="FFFFFF"/>
        </w:rPr>
        <w:t>大道至简，实干为要。今年是全面贯彻落实党的二十大精神的开局之年，开局关乎全局，起步决定后程。让我们更加紧密地团结在以习近平同志为核心的党中央周围，全面贯彻习近平新时代中国特色社会主义思想，坚持以推动高质量发展为主题，增强国内大循环内生动力和可靠性，提升国际循环质量和水平，加快建设现代化经济体系，着力提高全要素生产率，着力提升产业链供应链韧性和安全水平，着力推进城乡融合和区域协调发展，真抓实干、求真务实，以高质量发展的新成效为全面建设社会主义现代化国家开好局起好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right="0"/>
        <w:textAlignment w:val="auto"/>
        <w:rPr>
          <w:rFonts w:hint="eastAsia" w:ascii="仿宋" w:hAnsi="仿宋" w:eastAsia="仿宋" w:cs="仿宋"/>
          <w:sz w:val="28"/>
          <w:szCs w:val="28"/>
          <w:shd w:val="clear" w:color="auto"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right="0"/>
        <w:textAlignment w:val="auto"/>
        <w:rPr>
          <w:rFonts w:hint="eastAsia" w:ascii="仿宋" w:hAnsi="仿宋" w:eastAsia="仿宋" w:cs="仿宋"/>
          <w:sz w:val="28"/>
          <w:szCs w:val="28"/>
          <w:shd w:val="clear" w:color="auto"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right="0"/>
        <w:textAlignment w:val="auto"/>
        <w:rPr>
          <w:rFonts w:hint="eastAsia" w:ascii="仿宋" w:hAnsi="仿宋" w:eastAsia="仿宋" w:cs="仿宋"/>
          <w:sz w:val="28"/>
          <w:szCs w:val="28"/>
          <w:shd w:val="clear" w:color="auto" w:fill="FFFFFF"/>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11"/>
          <w:rFonts w:ascii="微软雅黑" w:hAnsi="微软雅黑" w:eastAsia="微软雅黑" w:cs="微软雅黑"/>
          <w:i w:val="0"/>
          <w:caps w:val="0"/>
          <w:color w:val="auto"/>
          <w:spacing w:val="0"/>
          <w:sz w:val="28"/>
          <w:szCs w:val="28"/>
          <w:shd w:val="clear" w:fill="FFFFFF"/>
        </w:rPr>
      </w:pPr>
      <w:r>
        <w:rPr>
          <w:rStyle w:val="11"/>
          <w:rFonts w:ascii="微软雅黑" w:hAnsi="微软雅黑" w:eastAsia="微软雅黑" w:cs="微软雅黑"/>
          <w:i w:val="0"/>
          <w:caps w:val="0"/>
          <w:color w:val="auto"/>
          <w:spacing w:val="0"/>
          <w:sz w:val="28"/>
          <w:szCs w:val="28"/>
          <w:shd w:val="clear" w:fill="FFFFFF"/>
        </w:rPr>
        <w:t>王晓晖在省级领导干部和市厅级主要负责同志学习贯彻党的二十大精神读书班上强调：推动党的二十大决策部署在四川具体化，奋力写好中国式现代化的四川篇章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11"/>
          <w:rFonts w:ascii="微软雅黑" w:hAnsi="微软雅黑" w:eastAsia="微软雅黑" w:cs="微软雅黑"/>
          <w:i w:val="0"/>
          <w:caps w:val="0"/>
          <w:color w:val="1F497D"/>
          <w:spacing w:val="0"/>
          <w:sz w:val="28"/>
          <w:szCs w:val="28"/>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sz w:val="28"/>
          <w:szCs w:val="28"/>
        </w:rPr>
      </w:pPr>
      <w:r>
        <w:rPr>
          <w:rFonts w:hint="eastAsia" w:ascii="宋体" w:hAnsi="宋体" w:eastAsia="宋体" w:cs="宋体"/>
          <w:i w:val="0"/>
          <w:caps w:val="0"/>
          <w:color w:val="000000"/>
          <w:spacing w:val="0"/>
          <w:kern w:val="0"/>
          <w:sz w:val="28"/>
          <w:szCs w:val="28"/>
          <w:shd w:val="clear" w:fill="FFFFFF"/>
          <w:lang w:val="en-US" w:eastAsia="zh-CN" w:bidi="ar"/>
        </w:rPr>
        <w:t>1月31日至2月4日，省级领导干部和市厅级主要负责同志学习贯彻党的二十大精神读书班在成都举行，省委书记王晓晖在开班式上作主题报告，并在结业式上作结业讲话。他强调，要坚定以习近平新时代中国特色社会主义思想和习近平总书记对四川工作系列重要指示精神为指导，深刻领悟“两个确立”的决定性意义，更加自觉地做到“两个维护”，推动党的二十大决策部署在四川具体化，深入实施“四化同步、城乡融合、五区共兴”战略部署，奋力写好中国式现代化的四川篇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sz w:val="28"/>
          <w:szCs w:val="28"/>
        </w:rPr>
      </w:pPr>
      <w:r>
        <w:rPr>
          <w:rFonts w:hint="eastAsia" w:ascii="宋体" w:hAnsi="宋体" w:eastAsia="宋体" w:cs="宋体"/>
          <w:i w:val="0"/>
          <w:caps w:val="0"/>
          <w:color w:val="000000"/>
          <w:spacing w:val="0"/>
          <w:kern w:val="0"/>
          <w:sz w:val="28"/>
          <w:szCs w:val="28"/>
          <w:shd w:val="clear" w:fill="FFFFFF"/>
          <w:lang w:val="en-US" w:eastAsia="zh-CN" w:bidi="ar"/>
        </w:rPr>
        <w:t>省委副书记、省长黄强主持开班式和结业式，省政协主席田向利出席。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center"/>
        <w:textAlignment w:val="auto"/>
        <w:rPr>
          <w:rFonts w:hint="eastAsia" w:ascii="宋体" w:hAnsi="宋体" w:eastAsia="宋体" w:cs="宋体"/>
          <w:sz w:val="28"/>
          <w:szCs w:val="2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sz w:val="28"/>
          <w:szCs w:val="28"/>
        </w:rPr>
      </w:pPr>
      <w:r>
        <w:rPr>
          <w:rFonts w:hint="eastAsia" w:ascii="宋体" w:hAnsi="宋体" w:eastAsia="宋体" w:cs="宋体"/>
          <w:i w:val="0"/>
          <w:caps w:val="0"/>
          <w:color w:val="000000"/>
          <w:spacing w:val="0"/>
          <w:kern w:val="0"/>
          <w:sz w:val="28"/>
          <w:szCs w:val="28"/>
          <w:shd w:val="clear" w:fill="FFFFFF"/>
          <w:lang w:val="en-US" w:eastAsia="zh-CN" w:bidi="ar"/>
        </w:rPr>
        <w:t>王晓晖在主题报告中首先对党的二十大精神进行了梳理和领学。他指出，党的二十大精神思想深邃、博大精深，必须反复研读、深入思考、全面把握、吃透核心要义。学深悟透党的二十大精神，要着重把握好党的二十大的主题，把握好过去5年的工作和新时代10年的伟大变革，把握好开辟马克思主义中国化时代化新境界的深刻论述，把握好中国式现代化的丰富内涵，把握好党和国家事业发展的重大部署，把握好坚持党的全面领导和全面从严治党的重大部署，在持续学懂弄通做实上下功夫。领导干部要全面学习、全面把握、全面落实，示范带动广大党员干部学深悟透笃行，做到知行合一、学以致用。全面学习就是要读原文、悟原理，原原本本学习党的二十大报告和党章，学习习近平总书记在党的二十届一中全会上的重要讲话精神，与学习习近平总书记对四川工作系列重要指示精神结合起来，并联系新时代10年伟大变革和四川发展进步，不断加深认识理解。全面把握就是要对党的二十大精神进行反复揣摩，既领会党的二十大在政治上的高瞻远瞩和理论上的深邃思考，又把握其目标上部署上的科学设定和工作上的战略安排，从中找方向、找方法、找思路、找遵循，并贯穿和运用到想问题、作决策、办事情的全过程。全面落实就是要牢固树立一盘棋思想，谋划和推动本地本部门工作都以贯彻党中央决策部署为前提，对标党的二十大确立的目标任务和重大举措，围绕省委十二届二次全会确立的总牵引、总抓手、总思路，紧扣实际拿出细化落实的具体方案，一步一个脚印推动党中央和省委决策部署在本地本部门落到实处、终端见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sz w:val="28"/>
          <w:szCs w:val="28"/>
        </w:rPr>
      </w:pPr>
      <w:r>
        <w:rPr>
          <w:rFonts w:hint="eastAsia" w:ascii="宋体" w:hAnsi="宋体" w:eastAsia="宋体" w:cs="宋体"/>
          <w:i w:val="0"/>
          <w:caps w:val="0"/>
          <w:color w:val="000000"/>
          <w:spacing w:val="0"/>
          <w:kern w:val="0"/>
          <w:sz w:val="28"/>
          <w:szCs w:val="28"/>
          <w:shd w:val="clear" w:fill="FFFFFF"/>
          <w:lang w:val="en-US" w:eastAsia="zh-CN" w:bidi="ar"/>
        </w:rPr>
        <w:t>随后，王晓晖围绕推动党的二十大决策部署在四川具体化、奋力写好中国式现代化的四川篇章、强化四川现代化建设的组织领导和支撑保障进行深入阐述。他指出，以中国式现代化全面推进中华民族伟大复兴，是党的二十大作出的重大抉择。站在更高起点谋划未来发展，在新的征程上谱写四川发展新篇章，是习近平总书记对四川工作提出的重要要求。如何写好中国式现代化的四川篇章，是我们必须回答的重大时代课题。省委十二届二次全会深入贯彻党的二十大精神，在全面分析我省发展实际的基础上，明确提出以“四化同步、城乡融合、五区共兴”统揽四川现代化建设全局，这是贯彻中央精神、立足省情特征、着眼长远发展作出的重大战略部署，是贯彻新发展理念、积极融入和服务新发展格局、推动高质量发展的实际行动。我们要不断加深理解、深化认识，切实增强贯彻落实的自觉性和坚定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sz w:val="28"/>
          <w:szCs w:val="28"/>
        </w:rPr>
      </w:pPr>
      <w:r>
        <w:rPr>
          <w:rFonts w:hint="eastAsia" w:ascii="宋体" w:hAnsi="宋体" w:eastAsia="宋体" w:cs="宋体"/>
          <w:i w:val="0"/>
          <w:caps w:val="0"/>
          <w:color w:val="000000"/>
          <w:spacing w:val="0"/>
          <w:kern w:val="0"/>
          <w:sz w:val="28"/>
          <w:szCs w:val="28"/>
          <w:shd w:val="clear" w:fill="FFFFFF"/>
          <w:lang w:val="en-US" w:eastAsia="zh-CN" w:bidi="ar"/>
        </w:rPr>
        <w:t>王晓晖指出，推动“四化同步”发展，要坚持把新型工业化作为主引擎，坚持工业兴省，大力实施制造强省战略，聚焦优势突出、成长性好的重点领域，把产业布局和区域布局统筹起来，集中资源、精准发力，全力实施电子信息、装备制造、食品轻纺、能源化工、先进材料、医药健康六大优势产业提质倍增计划，培育更多的千亿企业、万亿集群，让工业真正扛起大旗、挑起大梁；扎实推动工业与服务业联动发展，强化服务业功能，形成“四川制造”与“四川服务”相得益彰效应。要推动新型工业化与信息化深度融合，以“5G+工业互联网”推动传统制造装备联网、关键工序数控化，全面加强现代信息基础能力，为四川工业腾飞插上信息化翅膀；建好用好国字号科技创新平台和国省实验室体系，以揭榜挂帅等方式开展研究创新，让更多的创新成果从纸上到地上、从实验室走向生产线。要推动新型工业化与城镇化良性互动，处理好人、产、城之间的关系，把人本理念作为城市规划的起点，以充满活力的产业集聚人才、以高效优质的治理服务人才；把产业园区作为城镇空间拓展区和经济发展增长点，以城镇综合承载能力的增强支撑产业发展，以产业的增长提升城镇就业吸附能力；推进城市更新行动，增强城镇功能和产业能级。要推动新型工业化与农业现代化相互协调，坚持工业反哺农业，大力推动农业生产供应链、精深加工链、品牌价值链“三链同构”，支持农产品加工业集群式发展，推动生猪等畜禽规模化标准化养殖，保障粮食等重要农产品有效供给，进一步提升农业集约化、标准化、组织化和市场化程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sz w:val="28"/>
          <w:szCs w:val="28"/>
        </w:rPr>
      </w:pPr>
      <w:r>
        <w:rPr>
          <w:rFonts w:hint="eastAsia" w:ascii="宋体" w:hAnsi="宋体" w:eastAsia="宋体" w:cs="宋体"/>
          <w:i w:val="0"/>
          <w:caps w:val="0"/>
          <w:color w:val="000000"/>
          <w:spacing w:val="0"/>
          <w:kern w:val="0"/>
          <w:sz w:val="28"/>
          <w:szCs w:val="28"/>
          <w:shd w:val="clear" w:fill="FFFFFF"/>
          <w:lang w:val="en-US" w:eastAsia="zh-CN" w:bidi="ar"/>
        </w:rPr>
        <w:t>王晓晖指出，推动“城乡融合”发展，要努力破除城乡二元结构的体制障碍，形成新型工农、城乡关系，让进城的进得放心，留在农村的留得安心。要以改革办法打通城乡要素流动障碍，聚焦农村产权制度、户籍制度等重点领域，多从群众急难愁盼的问题入手加大改革力度，以实践创新引领改革创新，努力形成各具特色的城乡融合发展改革路径。要持续推动城乡基本公共服务均等化，加快推动市政基础设施和基本公共服务向农村下沉、向农民倾斜，推动关键设施城乡同质同标，积极促进基本公共服务同轨同享。要全面推进乡村建设迈出坚实步伐，突出乡土特征、文化特质、地域特点，注意发挥农民主体作用，统筹推动农村产业发展、乡村治理、环境保护、精神文明建设等重点工作。要发挥县域联动城乡经济的重要作用，分类引导大城市周边县城加快发展、专业功能县城差异化发展、农产品主产区县城合理发展、重点生态功能区县城有序发展、人口流失县城转型发展，加快把县域打造成为城乡融合发展的桥头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sz w:val="28"/>
          <w:szCs w:val="28"/>
        </w:rPr>
      </w:pPr>
      <w:r>
        <w:rPr>
          <w:rFonts w:hint="eastAsia" w:ascii="宋体" w:hAnsi="宋体" w:eastAsia="宋体" w:cs="宋体"/>
          <w:i w:val="0"/>
          <w:caps w:val="0"/>
          <w:color w:val="000000"/>
          <w:spacing w:val="0"/>
          <w:kern w:val="0"/>
          <w:sz w:val="28"/>
          <w:szCs w:val="28"/>
          <w:shd w:val="clear" w:fill="FFFFFF"/>
          <w:lang w:val="en-US" w:eastAsia="zh-CN" w:bidi="ar"/>
        </w:rPr>
        <w:t>王晓晖指出，推动“五区共兴”发展，要以成渝地区双城经济圈建设为总牵引，立足各地资源禀赋和经济基础，因地制宜推动领先发展、特色发展、携手发展。优势地区要领先发展，成都要加快建设践行新发展理念的公园城市示范区，持续提升核心功能和辐射带动作用，加快推动成德眉资同城化进程；支持区域中心城市壮大产业规模、提升城市能级，争取形成经济规模较大的中等经济体；推动国省新区和各类高新区、经开区加快发展，形成更多新的经济增长点。五大片区要坚持特色发展，成都平原经济区要聚焦全域一体化目标，全面提升区域发展能级；川南经济区要主动承担四川南向开放门户枢纽作用，打造全省经济增长第二极；川东北经济区要用好红色、绿色、特色三大资源，加快打造川陕革命老区振兴发展示范区和绿色产业示范基地；攀西经济区要擦亮国家战略资源创新开发试验区这块金字招牌，加快推动安宁河流域高质量发展；川西北生态示范区要把保护修复生态环境摆在优先位置，努力走在全国民族团结进步示范州前列。先发和后发地区要携手发展，建立省内先发地区、部门、企业与欠发达地区结对共富机制，“一县一策”“一区一策”制定差别化政策，把更多资源力量精准投放到欠发达地区和丘陵地区，在新一轮发展中弯道超车、迎头赶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sz w:val="28"/>
          <w:szCs w:val="28"/>
        </w:rPr>
      </w:pPr>
      <w:r>
        <w:rPr>
          <w:rFonts w:hint="eastAsia" w:ascii="宋体" w:hAnsi="宋体" w:eastAsia="宋体" w:cs="宋体"/>
          <w:i w:val="0"/>
          <w:caps w:val="0"/>
          <w:color w:val="000000"/>
          <w:spacing w:val="0"/>
          <w:kern w:val="0"/>
          <w:sz w:val="28"/>
          <w:szCs w:val="28"/>
          <w:shd w:val="clear" w:fill="FFFFFF"/>
          <w:lang w:val="en-US" w:eastAsia="zh-CN" w:bidi="ar"/>
        </w:rPr>
        <w:t>王晓晖指出，贯彻落实党的二十大精神、写好中国式现代化的四川篇章，是一项涉及各个领域、各个层面的系统工程，必须坚持和加强党的全面领导，筑牢政策支撑，强化系统观念，坚持守正创新，弘扬清风正气，最大限度调动各方面积极性主动性创造性，确保力量和资源向现代化建设这个中心大局聚焦，共同把宏伟蓝图变为美好现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sz w:val="28"/>
          <w:szCs w:val="28"/>
        </w:rPr>
      </w:pPr>
      <w:r>
        <w:rPr>
          <w:rFonts w:hint="eastAsia" w:ascii="宋体" w:hAnsi="宋体" w:eastAsia="宋体" w:cs="宋体"/>
          <w:i w:val="0"/>
          <w:caps w:val="0"/>
          <w:color w:val="000000"/>
          <w:spacing w:val="0"/>
          <w:kern w:val="0"/>
          <w:sz w:val="28"/>
          <w:szCs w:val="28"/>
          <w:shd w:val="clear" w:fill="FFFFFF"/>
          <w:lang w:val="en-US" w:eastAsia="zh-CN" w:bidi="ar"/>
        </w:rPr>
        <w:t>王晓晖在结业讲话中指出，写好中国式现代化的四川篇章，是全省上下共同的历史使命，也是必须担负的重大政治责任。各地各部门要紧扣实际找准工作的切入点和着力点，明确工作重点、主攻方向、实施路径，弹好“同步”之调，做足“融合”之功，唱响“共兴”之歌，推动新时代新征程四川现代化建设开好局起好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sz w:val="28"/>
          <w:szCs w:val="28"/>
        </w:rPr>
      </w:pPr>
      <w:r>
        <w:rPr>
          <w:rFonts w:hint="eastAsia" w:ascii="宋体" w:hAnsi="宋体" w:eastAsia="宋体" w:cs="宋体"/>
          <w:i w:val="0"/>
          <w:caps w:val="0"/>
          <w:color w:val="000000"/>
          <w:spacing w:val="0"/>
          <w:kern w:val="0"/>
          <w:sz w:val="28"/>
          <w:szCs w:val="28"/>
          <w:shd w:val="clear" w:fill="FFFFFF"/>
          <w:lang w:val="en-US" w:eastAsia="zh-CN" w:bidi="ar"/>
        </w:rPr>
        <w:t>王晓晖强调，今年是开局起步之年，做好今年工作尤为重要。开年以来特别是春节期间我省经济迎来强劲复苏势头，不断向好的发展指标，折射出我省经济发展的活力与潜力。我们必须把握机遇、乘势而上、踔厉奋发，加力加劲推动经济稳步回升，实现经济运行整体好转。推动经济稳步回升，我们有这个信心决心。这个信心源于我省经济发展的厚实基础、源于我省发展面临的重大机遇、源于当前发展呈现的良好势头。推动经济稳步回升，我们必须紧盯重大部署狠抓落实。要紧盯消费抓恢复提振，紧盯项目抓投资促进，紧盯外贸抓增量提质，紧盯市场主体抓营商环境，紧盯农业抓稳产保供，紧盯安全抓风险防范，不断巩固好当前经济复苏的良好势头，努力在加快奔跑中抢占先机。推动经济稳步回升，需要我们以拼的精神、闯的劲头苦干实干。开局关乎全局、起步决定后程，时间不等人、机遇不等人、发展不等人，一步慢则步步慢，快一步就胜一筹。各地各部门要把这次读书班的学习成果转化为抓发展的实际成效，拿出“开年就开跑”、“起步即冲刺”的劲头，全力以赴拼经济、搞建设、推动高质量发展，确保实现一季度“开门红”，确保完成全年目标任务，为国家发展大局多作贡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sz w:val="28"/>
          <w:szCs w:val="28"/>
        </w:rPr>
      </w:pPr>
      <w:r>
        <w:rPr>
          <w:rFonts w:hint="eastAsia" w:ascii="宋体" w:hAnsi="宋体" w:eastAsia="宋体" w:cs="宋体"/>
          <w:i w:val="0"/>
          <w:caps w:val="0"/>
          <w:color w:val="000000"/>
          <w:spacing w:val="0"/>
          <w:kern w:val="0"/>
          <w:sz w:val="28"/>
          <w:szCs w:val="28"/>
          <w:shd w:val="clear" w:fill="FFFFFF"/>
          <w:lang w:val="en-US" w:eastAsia="zh-CN" w:bidi="ar"/>
        </w:rPr>
        <w:t>读书班期间，开展了分组学习研讨，邀请中央党校专家作专题辅导；省委常委同志分别作主题发言，结合分管领域谈体会和工作打算。结业式上，各组就学习讨论情况作汇报发言。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sz w:val="28"/>
          <w:szCs w:val="28"/>
        </w:rPr>
      </w:pPr>
      <w:r>
        <w:rPr>
          <w:rFonts w:hint="eastAsia" w:ascii="宋体" w:hAnsi="宋体" w:eastAsia="宋体" w:cs="宋体"/>
          <w:i w:val="0"/>
          <w:caps w:val="0"/>
          <w:color w:val="000000"/>
          <w:spacing w:val="0"/>
          <w:kern w:val="0"/>
          <w:sz w:val="28"/>
          <w:szCs w:val="28"/>
          <w:shd w:val="clear" w:fill="FFFFFF"/>
          <w:lang w:val="en-US" w:eastAsia="zh-CN" w:bidi="ar"/>
        </w:rPr>
        <w:t>省委、省人大常委会、省政府、省政协领导，省法院院长、省检察院检察长，各市（州）党委政府、省直各部门（单位）和省属科研单位、高等学校、国有企业主要负责同志等参加读书班。</w:t>
      </w:r>
    </w:p>
    <w:p>
      <w:pPr>
        <w:rPr>
          <w:sz w:val="28"/>
          <w:szCs w:val="28"/>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仿宋" w:hAnsi="仿宋" w:eastAsia="仿宋" w:cs="仿宋"/>
          <w:sz w:val="28"/>
          <w:szCs w:val="28"/>
          <w:shd w:val="clear" w:color="auto" w:fill="FFFFFF"/>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3ujaLM8BAACbAwAADgAAAAAAAAABACAAAAAfAQAAZHJz&#10;L2Uyb0RvYy54bWxQSwUGAAAAAAYABgBZAQAAYA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MmUzNWI4OWZmZWU1NjBmYzM3ZjIxZjYwNTYwOGEifQ=="/>
    <w:docVar w:name="KSO_WPS_MARK_KEY" w:val="ed1ced89-3d1f-462b-bd47-a39d3efdf9ad"/>
  </w:docVars>
  <w:rsids>
    <w:rsidRoot w:val="00000000"/>
    <w:rsid w:val="026D0008"/>
    <w:rsid w:val="0B177372"/>
    <w:rsid w:val="65112AD9"/>
    <w:rsid w:val="67ED5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paragraph" w:styleId="4">
    <w:name w:val="heading 3"/>
    <w:basedOn w:val="1"/>
    <w:next w:val="1"/>
    <w:qFormat/>
    <w:uiPriority w:val="0"/>
    <w:pPr>
      <w:spacing w:before="0" w:beforeAutospacing="0" w:after="0" w:afterAutospacing="0"/>
      <w:ind w:left="0" w:right="0"/>
      <w:jc w:val="left"/>
    </w:pPr>
    <w:rPr>
      <w:rFonts w:hint="eastAsia" w:ascii="宋体" w:hAnsi="宋体" w:eastAsia="宋体" w:cs="宋体"/>
      <w:b/>
      <w:bCs/>
      <w:kern w:val="0"/>
      <w:sz w:val="27"/>
      <w:szCs w:val="27"/>
      <w:lang w:val="en-US" w:eastAsia="zh-CN"/>
    </w:rPr>
  </w:style>
  <w:style w:type="character" w:default="1" w:styleId="10">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39"/>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character" w:styleId="11">
    <w:name w:val="Strong"/>
    <w:basedOn w:val="10"/>
    <w:qFormat/>
    <w:uiPriority w:val="0"/>
    <w:rPr>
      <w:b/>
    </w:rPr>
  </w:style>
  <w:style w:type="character" w:styleId="12">
    <w:name w:val="FollowedHyperlink"/>
    <w:basedOn w:val="10"/>
    <w:qFormat/>
    <w:uiPriority w:val="0"/>
    <w:rPr>
      <w:color w:val="005C81"/>
      <w:u w:val="none"/>
    </w:rPr>
  </w:style>
  <w:style w:type="character" w:styleId="13">
    <w:name w:val="Emphasis"/>
    <w:basedOn w:val="10"/>
    <w:qFormat/>
    <w:uiPriority w:val="0"/>
  </w:style>
  <w:style w:type="character" w:styleId="14">
    <w:name w:val="Hyperlink"/>
    <w:basedOn w:val="10"/>
    <w:qFormat/>
    <w:uiPriority w:val="99"/>
    <w:rPr>
      <w:color w:val="0563C1"/>
      <w:u w:val="single"/>
    </w:rPr>
  </w:style>
  <w:style w:type="character" w:customStyle="1" w:styleId="15">
    <w:name w:val="标题 1 字符"/>
    <w:basedOn w:val="10"/>
    <w:link w:val="2"/>
    <w:qFormat/>
    <w:uiPriority w:val="0"/>
    <w:rPr>
      <w:rFonts w:ascii="Calibri" w:hAnsi="Calibri" w:eastAsia="宋体" w:cs="宋体"/>
      <w:b/>
      <w:bCs/>
      <w:kern w:val="44"/>
      <w:sz w:val="44"/>
      <w:szCs w:val="44"/>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CBA4DE-7F73-40B1-ADD8-A1C074E599E1}">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25</Pages>
  <Words>21254</Words>
  <Characters>21690</Characters>
  <Paragraphs>135</Paragraphs>
  <TotalTime>2</TotalTime>
  <ScaleCrop>false</ScaleCrop>
  <LinksUpToDate>false</LinksUpToDate>
  <CharactersWithSpaces>21696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DHQ</dc:creator>
  <cp:lastModifiedBy>邱政</cp:lastModifiedBy>
  <cp:lastPrinted>2022-09-02T06:16:00Z</cp:lastPrinted>
  <dcterms:modified xsi:type="dcterms:W3CDTF">2023-04-07T09:29:53Z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A934D8DDF0A042A59C0B5220CB94575E</vt:lpwstr>
  </property>
</Properties>
</file>