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第15期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3" name="文本框 3"/>
                <wp:cNvGraphicFramePr/>
                <a:graphic xmlns:a="http://schemas.openxmlformats.org/drawingml/2006/main">
                  <a:graphicData uri="http://schemas.microsoft.com/office/word/2010/wordprocessingShape">
                    <wps:wsp>
                      <wps:cNvSpPr txBox="1"/>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2</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shape id="_x0000_s1026" o:spid="_x0000_s1026" o:spt="202" type="#_x0000_t202" style="position:absolute;left:0pt;margin-left:-18pt;margin-top:0pt;height:42.9pt;width:477pt;z-index:-251656192;mso-width-relative:page;mso-height-relative:page;" fillcolor="#FFFFFF" filled="t" stroked="t" coordsize="21600,21600" o:gfxdata="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kNLRdYAAAAH&#10;AQAADwAAAAAAAAABACAAAAAiAAAAZHJzL2Rvd25yZXYueG1sUEsBAhQAFAAAAAgAh07iQLAqjVse&#10;AgAAYQQAAA4AAAAAAAAAAQAgAAAAJQEAAGRycy9lMm9Eb2MueG1sUEsFBgAAAAAGAAYAWQEAALUF&#10;A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2</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日</w:t>
                      </w:r>
                    </w:p>
                  </w:txbxContent>
                </v:textbox>
              </v:shape>
            </w:pict>
          </mc:Fallback>
        </mc:AlternateContent>
      </w:r>
      <w:r>
        <w:rPr>
          <w:rFonts w:hint="eastAsia" w:ascii="宋体" w:hAnsi="宋体" w:eastAsia="宋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4"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pt;margin-top:7.8pt;height:0pt;width:457.1pt;z-index:251661312;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S2US1wAAAAkBAAAPAAAAAAAAAAEAIAAAACIAAABkcnMvZG93bnJldi54bWxQSwECFAAU&#10;AAAACACHTuJAY7nPufIBAADnAwAADgAAAAAAAAABACAAAAAmAQAAZHJzL2Uyb0RvYy54bWxQSwUG&#10;AAAAAAYABgBZAQAAigUAAAAA&#10;">
                <v:fill on="f" focussize="0,0"/>
                <v:stroke weight="1.5pt" color="#FFFFFF" joinstyle="round"/>
                <v:imagedata o:title=""/>
                <o:lock v:ext="edit" aspectratio="f"/>
              </v:line>
            </w:pict>
          </mc:Fallback>
        </mc:AlternateContent>
      </w:r>
      <w:bookmarkStart w:id="0" w:name="_Toc14317"/>
      <w:bookmarkStart w:id="1" w:name="_Toc28141"/>
      <w:bookmarkStart w:id="2" w:name="_Toc27463"/>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35pt;margin-top:4.55pt;height:0.75pt;width:458.25pt;z-index:251662336;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W8y8fXAAAACAEAAA8AAAAAAAAAAQAgAAAAIgAAAGRycy9kb3ducmV2Lnht&#10;bFBLAQIUABQAAAAIAIdO4kAGIso6+gEAAPMDAAAOAAAAAAAAAAEAIAAAACYBAABkcnMvZTJvRG9j&#10;LnhtbFBLBQYAAAAABgAGAFkBAACSBQ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pStyle w:val="2"/>
        <w:keepNext w:val="0"/>
        <w:keepLines w:val="0"/>
        <w:widowControl/>
        <w:suppressLineNumbers w:val="0"/>
        <w:spacing w:before="0" w:beforeAutospacing="0" w:after="0" w:afterAutospacing="0" w:line="270" w:lineRule="atLeast"/>
        <w:ind w:left="0" w:right="0"/>
        <w:jc w:val="left"/>
        <w:rPr>
          <w:rFonts w:hint="eastAsia" w:ascii="仿宋" w:hAnsi="仿宋" w:eastAsia="仿宋" w:cs="仿宋"/>
          <w:b w:val="0"/>
          <w:bCs/>
          <w:snapToGrid w:val="0"/>
          <w:spacing w:val="-8"/>
          <w:kern w:val="2"/>
          <w:sz w:val="36"/>
          <w:szCs w:val="36"/>
          <w:lang w:val="en-US" w:eastAsia="zh-CN" w:bidi="ar-SA"/>
        </w:rPr>
      </w:pPr>
      <w:r>
        <w:rPr>
          <w:rFonts w:hint="eastAsia" w:ascii="仿宋" w:hAnsi="仿宋" w:eastAsia="仿宋" w:cs="仿宋"/>
          <w:b w:val="0"/>
          <w:bCs/>
          <w:snapToGrid w:val="0"/>
          <w:spacing w:val="-8"/>
          <w:kern w:val="2"/>
          <w:sz w:val="36"/>
          <w:szCs w:val="36"/>
          <w:lang w:val="en-US" w:eastAsia="zh-CN" w:bidi="ar-SA"/>
        </w:rPr>
        <w:t>◆中华人民共和国反电信网络诈骗法</w:t>
      </w:r>
    </w:p>
    <w:p>
      <w:pPr>
        <w:tabs>
          <w:tab w:val="right" w:leader="dot" w:pos="8296"/>
        </w:tabs>
        <w:spacing w:line="560" w:lineRule="exact"/>
        <w:rPr>
          <w:rFonts w:hint="eastAsia" w:ascii="仿宋" w:hAnsi="仿宋" w:eastAsia="仿宋" w:cs="仿宋"/>
          <w:b w:val="0"/>
          <w:bCs/>
          <w:snapToGrid w:val="0"/>
          <w:spacing w:val="-8"/>
          <w:kern w:val="2"/>
          <w:sz w:val="36"/>
          <w:szCs w:val="36"/>
          <w:lang w:val="en-US" w:eastAsia="zh-CN" w:bidi="ar-SA"/>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中国共产党四川省第十二届委员会第二次全体会议公报</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eastAsia" w:ascii="仿宋" w:hAnsi="仿宋" w:eastAsia="仿宋" w:cs="仿宋"/>
          <w:bCs/>
          <w:snapToGrid w:val="0"/>
          <w:color w:val="auto"/>
          <w:spacing w:val="-8"/>
          <w:sz w:val="36"/>
          <w:szCs w:val="36"/>
          <w:lang w:val="en-US" w:eastAsia="zh-CN"/>
        </w:rPr>
        <w:t>19</w:t>
      </w:r>
      <w:bookmarkStart w:id="4" w:name="_GoBack"/>
      <w:bookmarkEnd w:id="4"/>
    </w:p>
    <w:p>
      <w:pPr>
        <w:tabs>
          <w:tab w:val="right" w:leader="dot" w:pos="8296"/>
        </w:tabs>
        <w:spacing w:line="560" w:lineRule="exact"/>
        <w:jc w:val="center"/>
        <w:rPr>
          <w:rFonts w:hint="eastAsia" w:ascii="仿宋" w:hAnsi="仿宋" w:eastAsia="仿宋" w:cs="仿宋"/>
          <w:b/>
          <w:bCs/>
          <w:kern w:val="2"/>
          <w:sz w:val="30"/>
          <w:szCs w:val="30"/>
          <w:lang w:val="en-US" w:eastAsia="zh-CN" w:bidi="ar-SA"/>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中华人民共和国反电信网络诈骗法</w:t>
      </w:r>
    </w:p>
    <w:p>
      <w:pPr>
        <w:pStyle w:val="4"/>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（2022年9月2日第十三届全国人民代表大会常务委员会第三十六次会议通过）</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目　　录</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第一章　总　　则</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第二章　电信治理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第三章　金融治理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第四章　互联网治理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第五章　综合措施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第六章　法律责任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第七章　附　　则</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第一章　总　　则</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第一条　为了预防、遏制和惩治电信网络诈骗活动，加强反电信网络诈骗工作，保护公民和组织的合法权益，维护社会稳定和国家安全，根据宪法，制定本法。</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第二条　本法所称电信网络诈骗，是指以非法占有为目的，利用电信网络技术手段，通过远程、非接触等方式，诈骗公私财物的行为。</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第三条　打击治理在中华人民共和国境内实施的电信网络诈骗活动或者中华人民共和国公民在境外实施的电信网络诈骗活动，适用本法。</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境外的组织、个人针对中华人民共和国境内实施电信网络诈骗活动的，或者为他人针对境内实施电信网络诈骗活动提供产品、服务等帮助的，依照本法有关规定处理和追究责任。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第四条　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第五条　反电信网络诈骗工作应当依法进行，维护公民和组织的合法权益。</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有关部门和单位、个人应当对在反电信网络诈骗工作过程中知悉的国家秘密、商业秘密和个人隐私、个人信息予以保密。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第六条　国务院建立反电信网络诈骗工作机制，统筹协调打击治理工作。</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地方各级人民政府组织领导本行政区域内反电信网络诈骗工作，确定反电信网络诈骗目标任务和工作机制，开展综合治理。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公安机关牵头负责反电信网络诈骗工作，金融、电信、网信、市场监管等有关部门依照职责履行监管主体责任，负责本行业领域反电信网络诈骗工作。</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人民法院、人民检察院发挥审判、检察职能作用，依法防范、惩治电信网络诈骗活动。</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电信业务经营者、银行业金融机构、非银行支付机构、互联网服务提供者承担风险防控责任，建立反电信网络诈骗内部控制机制和安全责任制度，加强新业务涉诈风险安全评估。</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第七条　有关部门、单位在反电信网络诈骗工作中应当密切协作，实现跨行业、跨地域协同配合、快速联动，加强专业队伍建设，有效打击治理电信网络诈骗活动。</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第八条　各级人民政府和有关部门应当加强反电信网络诈骗宣传，普及相关法律和知识，提高公众对各类电信网络诈骗方式的防骗意识和识骗能力。</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第二章　电信治理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第九条　电信业务经营者应当依法全面落实电话用户真实身份信息登记制度。</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基础电信企业和移动通信转售企业应当承担对代理商落实电话用户实名制管理责任，在协议中明确代理商实名制登记的责任和有关违约处置措施。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第十条　办理电话卡不得超出国家有关规定限制的数量。</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对经识别存在异常办卡情形的，电信业务经营者有权加强核查或者拒绝办卡。具体识别办法由国务院电信主管部门制定。</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国务院电信主管部门组织建立电话用户开卡数量核验机制和风险信息共享机制，并为用户查询名下电话卡信息提供便捷渠道。</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第十一条　电信业务经营者对监测识别的涉诈异常电话卡用户应当重新进行实名核验，根据风险等级采取有区别的、相应的核验措施。对未按规定核验或者核验未通过的，电信业务经营者可以限制、暂停有关电话卡功能。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第十二条　电信业务经营者建立物联网卡用户风险评估制度，评估未通过的，不得向其销售物联网卡；严格登记物联网卡用户身份信息；采取有效技术措施限定物联网卡开通功能、使用场景和适用设备。</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单位用户从电信业务经营者购买物联网卡再将载有物联网卡的设备销售给其他用户的，应当核验和登记用户身份信息，并将销量、存量及用户实名信息传送给号码归属的电信业务经营者。</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电信业务经营者对物联网卡的使用建立监测预警机制。对存在异常使用情形的，应当采取暂停服务、重新核验身份和使用场景或者其他合同约定的处置措施。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第十三条　电信业务经营者应当规范真实主叫号码传送和电信线路出租，对改号电话进行封堵拦截和溯源核查。</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电信业务经营者应当严格规范国际通信业务出入口局主叫号码传送，真实、准确向用户提示来电号码所属国家或者地区，对网内和网间虚假主叫、不规范主叫进行识别、拦截。</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第十四条　任何单位和个人不得非法制造、买卖、提供或者使用下列设备、软件：</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（一）电话卡批量插入设备；</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（二）具有改变主叫号码、虚拟拨号、互联网电话违规接入公用电信网络等功能的设备、软件；</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（三）批量账号、网络地址自动切换系统，批量接收提供短信验证、语音验证的平台；</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（四）其他用于实施电信网络诈骗等违法犯罪的设备、软件。</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电信业务经营者、互联网服务提供者应当采取技术措施，及时识别、阻断前款规定的非法设备、软件接入网络，并向公安机关和相关行业主管部门报告。</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第三章　金融治理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第十五条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第十六条　开立银行账户、支付账户不得超出国家有关规定限制的数量。</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对经识别存在异常开户情形的，银行业金融机构、非银行支付机构有权加强核查或者拒绝开户。</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第十七条　银行业金融机构、非银行支付机构应当建立开立企业账户异常情形的风险防控机制。金融、电信、市场监管、税务等有关部门建立开立企业账户相关信息共享查询系统，提供联网核查服务。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第十八条　银行业金融机构、非银行支付机构应当对银行账户、支付账户及支付结算服务加强监测，建立完善符合电信网络诈骗活动特征的异常账户和可疑交易监测机制。</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中国人民银行统筹建立跨银行业金融机构、非银行支付机构的反洗钱统一监测系统，会同国务院公安部门完善与电信网络诈骗犯罪资金流转特点相适应的反洗钱可疑交易报告制度。</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对监测识别的异常账户和可疑交易，银行业金融机构、非银行支付机构应当根据风险情况，采取核实交易情况、重新核验身份、延迟支付结算、限制或者中止有关业务等必要的防范措施。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第十九条　银行业金融机构、非银行支付机构应当按照国家有关规定，完整、准确传输直接提供商品或者服务的商户名称、收付款客户名称及账号等交易信息，保证交易信息的真实、完整和支付全流程中的一致性。</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第二十条　国务院公安部门会同有关部门建立完善电信网络诈骗涉案资金即时查询、紧急止付、快速冻结、及时解冻和资金返还制度，明确有关条件、程序和救济措施。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公安机关依法决定采取上述措施的，银行业金融机构、非银行支付机构应当予以配合。</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第四章　互联网治理</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第二十一条　电信业务经营者、互联网服务提供者为用户提供下列服务，在与用户签订协议或者确认提供服务时，应当依法要求用户提供真实身份信息，用户不提供真实身份信息的，不得提供服务：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（一）提供互联网接入服务；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（二）提供网络代理等网络地址转换服务；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（三）提供互联网域名注册、服务器托管、空间租用、云服务、内容分发服务；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（四）提供信息、软件发布服务，或者提供即时通讯、网络交易、网络游戏、网络直播发布、广告推广服务。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第二十二条　互联网服务提供者对监测识别的涉诈异常账号应当重新核验，根据国家有关规定采取限制功能、暂停服务等处置措施。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第二十三条　设立移动互联网应用程序应当按照国家有关规定向电信主管部门办理许可或者备案手续。</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为应用程序提供封装、分发服务的，应当登记并核验应用程序开发运营者的真实身份信息，核验应用程序的功能、用途。</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公安、电信、网信等部门和电信业务经营者、互联网服务提供者应当加强对分发平台以外途径下载传播的涉诈应用程序重点监测、及时处置。</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第二十五条　任何单位和个人不得为他人实施电信网络诈骗活动提供下列支持或者帮助：</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（一）出售、提供个人信息；</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（二）帮助他人通过虚拟货币交易等方式洗钱；</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（三）其他为电信网络诈骗活动提供支持或者帮助的行为。</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电信业务经营者、互联网服务提供者应当依照国家有关规定，履行合理注意义务，对利用下列业务从事涉诈支持、帮助活动进行监测识别和处置：</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（一）提供互联网接入、服务器托管、网络存储、通讯传输、线路出租、域名解析等网络资源服务；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（二）提供信息发布或者搜索、广告推广、引流推广等网络推广服务；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（三）提供应用程序、网站等网络技术、产品的制作、维护服务；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（四）提供支付结算服务。</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第二十六条　公安机关办理电信网络诈骗案件依法调取证据的，互联网服务提供者应当及时提供技术支持和协助。</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第五章　综合措施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第二十七条　公安机关应当建立完善打击治理电信网络诈骗工作机制，加强专门队伍和专业技术建设，各警种、各地公安机关应当密切配合，依法有效惩处电信网络诈骗活动。</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公安机关接到电信网络诈骗活动的报案或者发现电信网络诈骗活动，应当依照《中华人民共和国刑事诉讼法》的规定立案侦查。</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第二十八条　金融、电信、网信部门依照职责对银行业金融机构、非银行支付机构、电信业务经营者、互联网服务提供者落实本法规定情况进行监督检查。有关监督检查活动应当依法规范开展。</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第二十九条　个人信息处理者应当依照《中华人民共和国个人信息保护法》等法律规定，规范个人信息处理，加强个人信息保护，建立个人信息被用于电信网络诈骗的防范机制。</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第三十条　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新闻、广播、电视、文化、互联网信息服务等单位，应当面向社会有针对性地开展反电信网络诈骗宣传教育。</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任何单位和个人有权举报电信网络诈骗活动，有关部门应当依法及时处理，对提供有效信息的举报人依照规定给予奖励和保护。</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第三十一条　任何单位和个人不得非法买卖、出租、出借电话卡、物联网卡、电信线路、短信端口、银行账户、支付账户、互联网账号等，不得提供实名核验帮助；不得假冒他人身份或者虚构代理关系开立上述卡、账户、账号等。</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第三十二条　国家支持电信业务经营者、银行业金融机构、非银行支付机构、互联网服务提供者研究开发有关电信网络诈骗反制技术，用于监测识别、动态封堵和处置涉诈异常信息、活动。</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第三十三条　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第三十四条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第三十五条　经国务院反电信网络诈骗工作机制决定或者批准，公安、金融、电信等部门对电信网络诈骗活动严重的特定地区，可以依照国家有关规定采取必要的临时风险防范措施。</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第三十六条　对前往电信网络诈骗活动严重地区的人员，出境活动存在重大涉电信网络诈骗活动嫌疑的，移民管理机构可以决定不准其出境。</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因从事电信网络诈骗活动受过刑事处罚的人员，设区的市级以上公安机关可以根据犯罪情况和预防再犯罪的需要，决定自处罚完毕之日起六个月至三年以内不准其出境，并通知移民管理机构执行。</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第三十七条　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pPr>
        <w:pStyle w:val="8"/>
        <w:keepNext w:val="0"/>
        <w:keepLines w:val="0"/>
        <w:widowControl/>
        <w:suppressLineNumbers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第六章　法律责任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第三十八条　组织、策划、实施、参与电信网络诈骗活动或者为电信网络诈骗活动提供帮助，构成犯罪的，依法追究刑事责任。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前款行为尚不构成犯罪的，由公安机关处十日以上十五日以下拘留；没收违法所得，处违法所得一倍以上十倍以下罚款，没有违法所得或者违法所得不足一万元的，处十万元以下罚款。</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第三十九条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（一）未落实国家有关规定确定的反电信网络诈骗内部控制机制的；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（二）未履行电话卡、物联网卡实名制登记职责的；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（三）未履行对电话卡、物联网卡的监测识别、监测预警和相关处置职责的；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（四）未对物联网卡用户进行风险评估，或者未限定物联网卡的开通功能、使用场景和适用设备的；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（五）未采取措施对改号电话、虚假主叫或者具有相应功能的非法设备进行监测处置的。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第四十条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（一）未落实国家有关规定确定的反电信网络诈骗内部控制机制的；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（二）未履行尽职调查义务和有关风险管理措施的；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（三）未履行对异常账户、可疑交易的风险监测和相关处置义务的；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（四）未按照规定完整、准确传输有关交易信息的。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第四十一条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（一）未落实国家有关规定确定的反电信网络诈骗内部控制机制的；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（二）未履行网络服务实名制职责，或者未对涉案、涉诈电话卡关联注册互联网账号进行核验的；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（三）未按照国家有关规定，核验域名注册、解析信息和互联网协议地址的真实性、准确性，规范域名跳转，或者记录并留存所提供相应服务的日志信息的；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（四）未登记核验移动互联网应用程序开发运营者的真实身份信息或者未核验应用程序的功能、用途，为其提供应用程序封装、分发服务的；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（五）未履行对涉诈互联网账号和应用程序，以及其他电信网络诈骗信息、活动的监测识别和处置义务的；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（六）拒不依法为查处电信网络诈骗犯罪提供技术支持和协助，或者未按规定移送有关违法犯罪线索、风险信息的。</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第四十二条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第四十三条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第四十四条　违反本法第三十一条第一款规定的，没收违法所得，由公安机关处违法所得一倍以上十倍以下罚款，没有违法所得或者违法所得不足二万元的，处二十万元以下罚款；情节严重的，并处十五日以下拘留。</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第四十五条　反电信网络诈骗工作有关部门、单位的工作人员滥用职权、玩忽职守、徇私舞弊，或者有其他违反本法规定行为，构成犯罪的，依法追究刑事责任。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第四十六条　组织、策划、实施、参与电信网络诈骗活动或者为电信网络诈骗活动提供相关帮助的违法犯罪人员，除依法承担刑事责任、行政责任以外，造成他人损害的，依照《中华人民共和国民法典》等法律的规定承担民事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电信业务经营者、银行业金融机构、非银行支付机构、互联网服务提供者等违反本法规定，造成他人损害的，依照《中华人民共和国民法典》等法律的规定承担民事责任。</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第四十七条　人民检察院在履行反电信网络诈骗职责中，对于侵害国家利益和社会公共利益的行为，可以依法向人民法院提起公益诉讼。</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第四十八条　有关单位和个人对依照本法作出的行政处罚和行政强制措施决定不服的，可以依法申请行政复议或者提起行政诉讼。</w:t>
      </w:r>
    </w:p>
    <w:p>
      <w:pPr>
        <w:pStyle w:val="8"/>
        <w:keepNext w:val="0"/>
        <w:keepLines w:val="0"/>
        <w:widowControl/>
        <w:suppressLineNumbers w:val="0"/>
        <w:spacing w:before="0" w:beforeAutospacing="0" w:after="0" w:afterAutospacing="0" w:line="270" w:lineRule="atLeast"/>
        <w:ind w:left="0" w:right="0" w:firstLine="420"/>
        <w:jc w:val="center"/>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第七章　附　　则</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第四十九条　反电信网络诈骗工作涉及的有关管理和责任制度，本法没有规定的，适用《中华人民共和国网络安全法》、《中华人民共和国个人信息保护法》、《中华人民共和国反洗钱法》等相关法律规定。</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bdr w:val="none" w:color="auto" w:sz="0" w:space="0"/>
          <w:shd w:val="clear" w:fill="FFFFFF"/>
        </w:rPr>
        <w:t>第五十条　本法自2022年12月1日起施行。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780" w:lineRule="atLeast"/>
        <w:ind w:left="0" w:right="0" w:firstLine="0"/>
        <w:jc w:val="center"/>
        <w:textAlignment w:val="auto"/>
        <w:rPr>
          <w:rFonts w:hint="eastAsia" w:ascii="微软雅黑" w:hAnsi="微软雅黑" w:eastAsia="微软雅黑" w:cs="微软雅黑"/>
          <w:b/>
          <w:bCs/>
          <w:i w:val="0"/>
          <w:iCs w:val="0"/>
          <w:caps w:val="0"/>
          <w:color w:val="00000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780" w:lineRule="atLeast"/>
        <w:ind w:left="0" w:right="0" w:firstLine="0"/>
        <w:jc w:val="center"/>
        <w:textAlignment w:val="auto"/>
        <w:rPr>
          <w:rFonts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sz w:val="32"/>
          <w:szCs w:val="32"/>
          <w:bdr w:val="none" w:color="auto" w:sz="0" w:space="0"/>
        </w:rPr>
        <w:t>中国共产党四川省第十二届委员会第二次全体会议公报</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lang w:val="en-US" w:eastAsia="zh-CN"/>
        </w:rPr>
      </w:pPr>
      <w:r>
        <w:rPr>
          <w:rFonts w:hint="eastAsia" w:ascii="仿宋" w:hAnsi="仿宋" w:eastAsia="仿宋" w:cs="仿宋"/>
          <w:sz w:val="30"/>
          <w:szCs w:val="30"/>
          <w:shd w:val="clear" w:fill="FFFFFF"/>
        </w:rPr>
        <w:t>（2022年11月29日中国共产党四川省第十二届委员会第二次全体会议通过）</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中国共产党四川省第十二届委员会第二次全体会议，于2022年11月28日至29日在成都举行。</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出席全会的有，省委委员79人，候补省委委员15人。省纪委常委、省监委委员和有关方面负责同志列席会议。省第十二次党代会代表中部分基层同志、专家学者和有关方面代表也列席会议。</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全会由省委常委会主持。省委书记王晓晖作了讲话。</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主要任务是，坚定以习近平新时代中国特色社会主义思想和习近平总书记对四川工作系列重要指示精神为指导，深入学习贯彻党的二十大精神，以中国式现代化引领四川现代化建设，以成渝地区双城经济圈建设为总牵引，以“四化同步、城乡融合、五区共兴”为总抓手，坚持“讲政治、抓发展、惠民生、保安全”工作总思路，推动治蜀兴川再上新台阶，在新的征程上奋力谱写四川发展新篇章。全会听取和讨论了王晓晖代表省委常委会作的工作报告和题为《以中国式现代化引领四川现代化建设在新的征程上奋力谱写四川发展新篇章》的主题报告，审议通过了《中共四川省委关于深入学习贯彻党的二十大精神在全面建设社会主义现代化国家新征程上奋力谱写四川发展新篇章的决定》。</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党的二十大是在全党全国各族人民迈上全面建设社会主义现代化国家新征程、向第二个百年奋斗目标进军的关键时刻，召开的一次十分重要的大会。大会和随后召开的二十届一中全会选举产生了以习近平同志为核心的新一届中央领导集体，明确“两个确立”是党在新时代取得的重大政治成果，是推动党和国家事业取得历史性成就、发生历史性变革的决定性因素，提出了开辟马克思主义中国化时代化新境界的新要求，深刻阐述了习近平新时代中国特色社会主义思想的世界观和方法论，明确了新时代新征程我们党的使命任务，制定了当前和今后一个时期党和国家的大政方针，描绘了以中国式现代化全面推进中华民族伟大复兴的宏伟蓝图，取得了一系列重大政治成果、理论成果和实践成果。全省上下必须深刻领悟“两个确立”的决定性意义，深入学习贯彻党的二十大精神，不折不扣推动党的二十大决策部署在四川落地生根、开花结果。</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充分肯定省委常委会的工作。一致认为，省委十二届一次全会以来，四川走过了一段极为不易、极不平凡的发展历程，多重困难叠加、多种风险交织、多条战线作战。在以习近平同志为核心的党中央坚强领导下，省委全面落实习近平总书记对四川工作系列重要指示精神和党中央决策部署，把迎接和学习宣传贯彻党的二十大作为首要政治任务和工作主题主线，坚持稳中求进工作总基调，统筹疫情防控和经济社会发展，统筹发展和安全，以非常之举应对非常之时，扎实抓好经济、政治、文化、社会、生态文明建设和党的建设各方面工作，推动各项事业取得新的重大进展。</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党的二十大报告明确提出新时代新征程我们党的使命任务，标志着以中国式现代化全面推进中华民族伟大复兴全面启动，向全党发出了朝着第二个百年奋斗目标进军的冲锋号，必将载入党和国家事业发展的光辉史册，必将开创人类历史和现代化进程的伟大奇迹。党的二十大报告深刻阐明了中国式现代化的中国特色、本质要求和必须牢牢把握的重大原则，这是我们党深刻总结我国和世界其他国家现代化建设的历史经验，对中国这样一个东方大国如何加快实现现代化在认识上不断深入、战略上不断完善、实践上不断丰富而形成的思想理论结晶。这些重大部署和重要要求，为我们在新时代新征程谋划推动四川现代化建设提供了方向指引。</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四川现代化建设是中国式现代化进程的生动缩影，经历了与全国一样的长期奋斗过程。当前阶段，四川现代化建设主要呈现以下特征：一是工业化处于由中期向中后期转型推进期，二是城镇化处于加快推进期，三是农业现代化处于提质增效期，四是信息化处于动能释放期，五是城乡发展处于深度融合期，六是区域发展处于协同优化期。这些特征决定了四川现代化建设之路是一个多重任务叠加、多重目标协同、多重路径并行的共进过程，必须从战略上进行系统谋划推动，更好适应新阶段新任务新要求。未来五年是全面建设社会主义现代化国家开局起步的关键时期。我们要深入贯彻党的二十大精神，积极主动在新时代新征程党和国家工作大局中明确方位、找准定位，把中国式现代化的中国特色、本质要求和必须牢牢把握的重大原则体现到四川各项工作之中，不断丰富和完善治蜀兴川总体工作布局，努力走出一条把握时代大势、符合发展规律、体现四川特色、服务国家全局的现代化之路，写好中国式现代化的四川篇章。</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对标对表党的二十大部署要求，紧扣四川省情实际和发展阶段性特征，要以“四化同步、城乡融合、五区共兴”为总抓手，推动新型工业化、信息化、城镇化和农业现代化在时间上同步演进、空间上一体布局、功能上耦合叠加，加快推进城乡融合发展，促进省内先发地区同欠发达地区协同共兴，以此统揽四川现代化建设全局。工业化是现代化不可逾越的阶段，必须把发展经济的着力点放在实体经济上，坚持工业兴省，大力实施制造强省战略，在优势产业高端化上做文章，在传统产业新型化上下苦功，在新兴产业规模化上求突破，以工业为主擎建设具有四川特色的现代化产业体系，同步实施服务业赋能融合计划、构建优质高效的服务业新体系。信息化是当今时代最鲜明的特征和标志，必须更好发挥信息化牵引带动作用，加快建设数字四川，推动基础设施信息化升级，推动企业行业信息化改造，推动经济社会信息化转型，促进数字经济与实体经济深度融合。城镇化是现代化的必由之路，必须坚持以人为核心的新型城镇化，以城市群、都市圈为依托构建大中小城市协调发展格局，推进以县城为重要载体的城镇化建设，加快形成分工合理、功能互补、良性互动的城镇化整体布局。农业现代化对四川具有特殊重要的意义，必须坚持农业农村优先发展，聚焦打造新时代更高水平的“天府粮仓”，着力构建粮经统筹、农牧并重、种养循环的现代农业体系，把农业大省金字招牌擦得更亮。城乡融合发展是现代化的重要标志，必须坚持以城带乡、以工促农，推动城市基础设施向乡村延伸、公共服务向乡村覆盖、现代文明向乡村传播，加快形成城乡共同繁荣新局面。五区共兴是破解发展不平衡问题的现实需要，也是推进四川现代化建设的必然要求，必须充分考虑不同地区禀赋条件和发展基础差异，高水平推动区域协调发展，建强动能更充沛的现代化成都都市圈，做强支撑更有力的次级增长极，推动欠发达地区跨越发展，促进成都平原、川南、川东北、攀西经济区和川西北生态示范区协同共兴。推动成渝地区双城经济圈建设是事关全局的战略性工程，党的二十大将其列为国家重大区域发展战略，必须作为四川现代化建设的总牵引，加强与重庆方面全方位协作，在协同共进、互利共赢中唱好“双城记”、建好经济圈，合力打造带动全国高质量发展的重要增长极和新的动力源。全省各地、各部门要准确把握、扎实推进“四化同步、城乡融合、五区共兴”，奋力推进四川现代化建设。</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要坚持系统观念、聚焦重点任务，为四川现代化建设提供有力支撑。把教育科技人才作为战略先导，坚持教育优先发展、科技自立自强、人才引领驱动，统筹教育强省、科技强省、人才强省建设，不断塑造发展新动能新优势。把深化改革扩大开放作为根本动力，纵深推进重点领域和关键环节改革，全力推进开放大通道建设，全方位深化开放合作，全面提升开放型经济水平，加快建设改革开放新高地。把发展全过程人民民主作为重要保障，完善全过程人民民主制度体系，以法治维护人民权益，积极发展基层民主，不断提升治理能力和水平。把文化自信自强作为持久精神力量，增强社会主义意识形态凝聚力和引领力，广泛践行社会主义核心价值观，大力发展文化事业和文化产业，推动巴蜀文化大发展大繁荣。把保障改善民生、促进共同富裕作为价值取向，回应群众期盼解决民生诉求，加快补齐民生领域短板，逐步缩小地区之间、城乡之间的收入差距，不断实现人民对美好生活的向往。把生态优先、绿色发展作为鲜明导向，实施“碳达峰十大行动”，持续打好污染防治攻坚战，统筹山水林田湖草沙系统治理，加快促进人与自然和谐共生。把防风险、保安全作为底线任务，加强重点领域安全能力建设，完善社会治安防控体系，建设更高水平的平安四川，坚决维护国家安全和社会稳定。</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要坚持和加强党的全面领导，为四川现代化建设提供坚强保证。认真落实新时代党的建设总要求，全面推进党的自我净化、自我完善、自我革新、自我提高，努力把全省各级党组织和党员干部队伍建设得更加坚强有力。坚持把党的政治建设摆在首位，深刻领悟“两个确立”的决定性意义，把践行“两个维护”作为最高政治原则和根本政治责任，始终在政治立场、政治方向、政治原则、政治道路上同以习近平同志为核心的党中央保持高度一致。坚持不懈用习近平新时代中国特色社会主义思想凝心铸魂，深刻领会这一思想的丰富内涵和核心要义，全面把握这一思想的世界观和方法论，坚持好、运用好贯穿其中的立场观点方法，坚定用以统一思想、统一意志、统一行动。认真践行新时代党的组织路线，坚持新时代好干部标准，树立以实干论英雄、凭实绩用干部的鲜明导向，大力选拔想干事、肯干事、能干成事的干部，统筹推进各领域基层党组织建设分类提升和全面过硬。持续用力正风肃纪反腐，大力纠治“四风”，深化整治权力集中、资金密集、资源富集领域的腐败问题，坚决惩治群众身边的“蝇贪”，加强新时代廉洁文化建设，不断巩固和发展反腐败斗争压倒性胜利。</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指出，贯彻落实好省委十二届二次全会精神，是当前全省上下的一项重要政治任务。各级党委（党组）要把学习宣传贯彻党的二十大精神和省委全会精神结合起来，聚焦重大部署抓落实，紧扣重点任务抓落实，突出实干导向抓落实，奋力推动省委全会决策部署落地见效。要迎难而上、拼搏奋进，切实抓好当前经济社会发展重点工作，坚定不移推动高质量发展，确保四川现代化建设新征程开好局起好步。要克难化险、守牢底线，统筹抓好发展和安全两件大事，发扬斗争精神、增强斗争本领，科学精准做好疫情防控工作，防范化解各领域重大风险，以新安全格局保障新发展格局。</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强调，力量源于团结，事业成于奋斗。推动新时代新征程四川现代化建设，是全省上下的共同政治责任，需要各个方面积极参与、主动作为。各级党委要总揽全局、协调各方，支持人大、政府、政协和法院、检察院依法依章程履职尽责，密切同各民主党派、工商联和无党派人士合作共事，扎实做好工会、共青团、妇联等群团工作和港澳台侨工作，最广泛最充分地调动各个方面的积极性主动性创造性，更好汇聚起全面建设社会主义现代化四川的强大合力。</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rPr>
      </w:pPr>
      <w:r>
        <w:rPr>
          <w:rFonts w:hint="eastAsia" w:ascii="仿宋" w:hAnsi="仿宋" w:eastAsia="仿宋" w:cs="仿宋"/>
          <w:sz w:val="30"/>
          <w:szCs w:val="30"/>
          <w:shd w:val="clear" w:fill="FFFFFF"/>
        </w:rPr>
        <w:t>全会号召，全省上下要更加紧密地团结在以习近平同志为核心的党中央周围，全面贯彻落实党的二十大精神和省委决策部署，踔厉奋发、勇毅前行，埋头苦干、拼搏实干，奋力写好中国式现代化的四川篇章，为全面建设社会主义现代化国家、全面推进中华民族伟大复兴作出更大贡献。</w:t>
      </w:r>
    </w:p>
    <w:p>
      <w:pPr>
        <w:pStyle w:val="8"/>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shd w:val="clear" w:fill="FFFFFF"/>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s>
  <w:rsids>
    <w:rsidRoot w:val="00BB6EF3"/>
    <w:rsid w:val="002415CC"/>
    <w:rsid w:val="002578E7"/>
    <w:rsid w:val="00282716"/>
    <w:rsid w:val="003A0794"/>
    <w:rsid w:val="003D5C9D"/>
    <w:rsid w:val="00407DFE"/>
    <w:rsid w:val="004F01F6"/>
    <w:rsid w:val="006E55E0"/>
    <w:rsid w:val="00A230A2"/>
    <w:rsid w:val="00A84594"/>
    <w:rsid w:val="00AB5DBE"/>
    <w:rsid w:val="00BB6EF3"/>
    <w:rsid w:val="00BE65D5"/>
    <w:rsid w:val="00E066FD"/>
    <w:rsid w:val="02711862"/>
    <w:rsid w:val="03896796"/>
    <w:rsid w:val="04EE11A0"/>
    <w:rsid w:val="0A8F250D"/>
    <w:rsid w:val="0CB74F14"/>
    <w:rsid w:val="0DDF7F0F"/>
    <w:rsid w:val="112F78F5"/>
    <w:rsid w:val="159E4F57"/>
    <w:rsid w:val="16664F0B"/>
    <w:rsid w:val="16A508EC"/>
    <w:rsid w:val="193C0666"/>
    <w:rsid w:val="19A014FC"/>
    <w:rsid w:val="1AB55230"/>
    <w:rsid w:val="1B580B29"/>
    <w:rsid w:val="1C712284"/>
    <w:rsid w:val="1E9366C3"/>
    <w:rsid w:val="1EC107A0"/>
    <w:rsid w:val="200707C0"/>
    <w:rsid w:val="202460D5"/>
    <w:rsid w:val="20B05F0B"/>
    <w:rsid w:val="22E13B9F"/>
    <w:rsid w:val="24C9264A"/>
    <w:rsid w:val="27336584"/>
    <w:rsid w:val="2B661505"/>
    <w:rsid w:val="347F6A0B"/>
    <w:rsid w:val="35B04BF9"/>
    <w:rsid w:val="37182449"/>
    <w:rsid w:val="3B9E41DA"/>
    <w:rsid w:val="3BB23479"/>
    <w:rsid w:val="3CC034B8"/>
    <w:rsid w:val="3FF55553"/>
    <w:rsid w:val="40B553AA"/>
    <w:rsid w:val="42E81CF7"/>
    <w:rsid w:val="455D1A40"/>
    <w:rsid w:val="47EC202F"/>
    <w:rsid w:val="4BA821A3"/>
    <w:rsid w:val="4BFA22D2"/>
    <w:rsid w:val="4CBA3FDD"/>
    <w:rsid w:val="4D1B6B91"/>
    <w:rsid w:val="4DAC581E"/>
    <w:rsid w:val="4EF1754D"/>
    <w:rsid w:val="4F053BBF"/>
    <w:rsid w:val="4F7C1EB2"/>
    <w:rsid w:val="4F893200"/>
    <w:rsid w:val="52531823"/>
    <w:rsid w:val="54A31759"/>
    <w:rsid w:val="54C316A7"/>
    <w:rsid w:val="57B440D1"/>
    <w:rsid w:val="5822570E"/>
    <w:rsid w:val="594D692D"/>
    <w:rsid w:val="59A4194C"/>
    <w:rsid w:val="5A155D68"/>
    <w:rsid w:val="5BFC0F76"/>
    <w:rsid w:val="5E4E7034"/>
    <w:rsid w:val="5E995E67"/>
    <w:rsid w:val="607336E2"/>
    <w:rsid w:val="60956B25"/>
    <w:rsid w:val="61CB3D52"/>
    <w:rsid w:val="61E8102E"/>
    <w:rsid w:val="68F6216C"/>
    <w:rsid w:val="69621182"/>
    <w:rsid w:val="6A060537"/>
    <w:rsid w:val="6B2A237B"/>
    <w:rsid w:val="6CA71D39"/>
    <w:rsid w:val="6DF64B98"/>
    <w:rsid w:val="6E046B86"/>
    <w:rsid w:val="71B179CD"/>
    <w:rsid w:val="74DF3598"/>
    <w:rsid w:val="75203F58"/>
    <w:rsid w:val="762F1526"/>
    <w:rsid w:val="76DF543D"/>
    <w:rsid w:val="76F8510C"/>
    <w:rsid w:val="774C0BAB"/>
    <w:rsid w:val="77851B5A"/>
    <w:rsid w:val="77C83101"/>
    <w:rsid w:val="784D58CB"/>
    <w:rsid w:val="785318AA"/>
    <w:rsid w:val="799A0AA4"/>
    <w:rsid w:val="7D174FB1"/>
    <w:rsid w:val="7FB9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005C81"/>
      <w:u w:val="none"/>
    </w:rPr>
  </w:style>
  <w:style w:type="character" w:styleId="13">
    <w:name w:val="Emphasis"/>
    <w:basedOn w:val="10"/>
    <w:qFormat/>
    <w:uiPriority w:val="0"/>
  </w:style>
  <w:style w:type="character" w:styleId="14">
    <w:name w:val="Hyperlink"/>
    <w:basedOn w:val="10"/>
    <w:unhideWhenUsed/>
    <w:qFormat/>
    <w:uiPriority w:val="99"/>
    <w:rPr>
      <w:color w:val="0563C1" w:themeColor="hyperlink"/>
      <w:u w:val="single"/>
      <w14:textFill>
        <w14:solidFill>
          <w14:schemeClr w14:val="hlink"/>
        </w14:solidFill>
      </w14:textFill>
    </w:rPr>
  </w:style>
  <w:style w:type="character" w:customStyle="1" w:styleId="15">
    <w:name w:val="标题 1 字符"/>
    <w:basedOn w:val="10"/>
    <w:link w:val="2"/>
    <w:qFormat/>
    <w:uiPriority w:val="0"/>
    <w:rPr>
      <w:rFonts w:asciiTheme="minorHAnsi" w:hAnsiTheme="minorHAnsi" w:eastAsiaTheme="minorEastAsia" w:cstheme="minorBidi"/>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5956</Words>
  <Characters>6074</Characters>
  <Lines>157</Lines>
  <Paragraphs>44</Paragraphs>
  <TotalTime>3</TotalTime>
  <ScaleCrop>false</ScaleCrop>
  <LinksUpToDate>false</LinksUpToDate>
  <CharactersWithSpaces>6079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2022-12-11T00:56:15Z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A934D8DDF0A042A59C0B5220CB94575E</vt:lpwstr>
  </property>
</Properties>
</file>